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5"/>
        <w:widowControl w:val="0"/>
        <w:autoSpaceDN w:val="0"/>
        <w:adjustRightInd w:val="0"/>
        <w:snapToGrid w:val="0"/>
        <w:spacing w:line="408" w:lineRule="auto"/>
        <w:ind w:firstLine="640"/>
        <w:jc w:val="left"/>
        <w:rPr>
          <w:rFonts w:ascii="黑体" w:eastAsia="黑体"/>
        </w:rPr>
      </w:pPr>
      <w:r>
        <w:rPr>
          <w:rFonts w:ascii="黑体" w:eastAsia="黑体"/>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黑体" w:eastAsia="黑体"/>
        </w:rPr>
        <w:instrText xml:space="preserve">ADDIN CNKISM.UserStyle</w:instrText>
      </w:r>
      <w:r>
        <w:rPr>
          <w:rFonts w:ascii="黑体" w:eastAsia="黑体"/>
        </w:rPr>
        <w:fldChar w:fldCharType="separate"/>
      </w:r>
      <w:r>
        <w:rPr>
          <w:rFonts w:ascii="黑体" w:eastAsia="黑体"/>
        </w:rPr>
        <w:fldChar w:fldCharType="end"/>
      </w:r>
    </w:p>
    <w:p>
      <w:pPr>
        <w:pStyle w:val="25"/>
        <w:autoSpaceDN w:val="0"/>
        <w:adjustRightInd w:val="0"/>
        <w:snapToGrid w:val="0"/>
        <w:ind w:firstLine="881"/>
        <w:jc w:val="center"/>
        <w:rPr>
          <w:rFonts w:ascii="华文中宋" w:hAnsi="华文中宋" w:eastAsia="华文中宋"/>
          <w:b/>
          <w:sz w:val="44"/>
          <w:szCs w:val="44"/>
        </w:rPr>
      </w:pPr>
    </w:p>
    <w:p>
      <w:pPr>
        <w:pStyle w:val="25"/>
        <w:autoSpaceDN w:val="0"/>
        <w:adjustRightInd w:val="0"/>
        <w:snapToGrid w:val="0"/>
        <w:ind w:firstLine="881"/>
        <w:jc w:val="center"/>
        <w:rPr>
          <w:rFonts w:ascii="华文中宋" w:hAnsi="华文中宋" w:eastAsia="华文中宋"/>
          <w:b/>
          <w:sz w:val="44"/>
          <w:szCs w:val="44"/>
        </w:rPr>
      </w:pPr>
      <w:r>
        <w:rPr>
          <w:rFonts w:hint="eastAsia" w:ascii="华文中宋" w:hAnsi="华文中宋" w:eastAsia="华文中宋"/>
          <w:b/>
          <w:sz w:val="44"/>
          <w:szCs w:val="44"/>
        </w:rPr>
        <w:t>长春经济技术开发区</w:t>
      </w:r>
    </w:p>
    <w:p>
      <w:pPr>
        <w:pStyle w:val="25"/>
        <w:widowControl w:val="0"/>
        <w:autoSpaceDN w:val="0"/>
        <w:adjustRightInd w:val="0"/>
        <w:snapToGrid w:val="0"/>
        <w:ind w:firstLine="881"/>
        <w:jc w:val="center"/>
        <w:rPr>
          <w:rFonts w:ascii="华文中宋" w:hAnsi="华文中宋" w:eastAsia="华文中宋"/>
          <w:b/>
          <w:sz w:val="44"/>
          <w:szCs w:val="44"/>
        </w:rPr>
      </w:pPr>
      <w:r>
        <w:rPr>
          <w:rFonts w:hint="eastAsia" w:ascii="华文中宋" w:hAnsi="华文中宋" w:eastAsia="华文中宋"/>
          <w:b/>
          <w:sz w:val="44"/>
          <w:szCs w:val="44"/>
        </w:rPr>
        <w:t>生态文明建设示范区（生态工业园区）</w:t>
      </w:r>
    </w:p>
    <w:p>
      <w:pPr>
        <w:pStyle w:val="25"/>
        <w:widowControl w:val="0"/>
        <w:autoSpaceDN w:val="0"/>
        <w:adjustRightInd w:val="0"/>
        <w:snapToGrid w:val="0"/>
        <w:ind w:firstLine="881"/>
        <w:jc w:val="center"/>
        <w:rPr>
          <w:rFonts w:ascii="华文中宋" w:hAnsi="华文中宋" w:eastAsia="华文中宋"/>
          <w:b/>
          <w:sz w:val="44"/>
          <w:szCs w:val="44"/>
        </w:rPr>
      </w:pPr>
      <w:r>
        <w:rPr>
          <w:rFonts w:hint="eastAsia" w:ascii="华文中宋" w:hAnsi="华文中宋" w:eastAsia="华文中宋"/>
          <w:b/>
          <w:sz w:val="44"/>
          <w:szCs w:val="44"/>
        </w:rPr>
        <w:t>20</w:t>
      </w:r>
      <w:r>
        <w:rPr>
          <w:rFonts w:ascii="华文中宋" w:hAnsi="华文中宋" w:eastAsia="华文中宋"/>
          <w:b/>
          <w:sz w:val="44"/>
          <w:szCs w:val="44"/>
        </w:rPr>
        <w:t>22</w:t>
      </w:r>
      <w:r>
        <w:rPr>
          <w:rFonts w:hint="eastAsia" w:ascii="华文中宋" w:hAnsi="华文中宋" w:eastAsia="华文中宋"/>
          <w:b/>
          <w:sz w:val="44"/>
          <w:szCs w:val="44"/>
        </w:rPr>
        <w:t>年度建设评价报告</w:t>
      </w:r>
    </w:p>
    <w:p>
      <w:pPr>
        <w:pStyle w:val="25"/>
        <w:widowControl w:val="0"/>
        <w:autoSpaceDN w:val="0"/>
        <w:adjustRightInd w:val="0"/>
        <w:snapToGrid w:val="0"/>
        <w:ind w:firstLine="801"/>
        <w:jc w:val="center"/>
        <w:rPr>
          <w:rFonts w:ascii="华文中宋" w:hAnsi="华文中宋" w:eastAsia="华文中宋"/>
          <w:b/>
          <w:sz w:val="40"/>
          <w:szCs w:val="40"/>
        </w:rPr>
      </w:pPr>
    </w:p>
    <w:p>
      <w:pPr>
        <w:pStyle w:val="25"/>
        <w:widowControl w:val="0"/>
        <w:autoSpaceDN w:val="0"/>
        <w:adjustRightInd w:val="0"/>
        <w:snapToGrid w:val="0"/>
        <w:ind w:firstLine="801"/>
        <w:jc w:val="center"/>
        <w:rPr>
          <w:rFonts w:ascii="华文中宋" w:hAnsi="华文中宋" w:eastAsia="华文中宋"/>
          <w:b/>
          <w:sz w:val="40"/>
          <w:szCs w:val="40"/>
        </w:rPr>
      </w:pPr>
    </w:p>
    <w:p>
      <w:pPr>
        <w:pStyle w:val="25"/>
        <w:widowControl w:val="0"/>
        <w:autoSpaceDN w:val="0"/>
        <w:adjustRightInd w:val="0"/>
        <w:snapToGrid w:val="0"/>
        <w:ind w:firstLine="801"/>
        <w:jc w:val="center"/>
        <w:rPr>
          <w:rFonts w:ascii="华文中宋" w:hAnsi="华文中宋" w:eastAsia="华文中宋"/>
          <w:b/>
          <w:sz w:val="40"/>
          <w:szCs w:val="40"/>
        </w:rPr>
      </w:pPr>
    </w:p>
    <w:p>
      <w:pPr>
        <w:pStyle w:val="25"/>
        <w:widowControl w:val="0"/>
        <w:autoSpaceDN w:val="0"/>
        <w:adjustRightInd w:val="0"/>
        <w:snapToGrid w:val="0"/>
        <w:ind w:firstLine="801"/>
        <w:jc w:val="center"/>
        <w:rPr>
          <w:rFonts w:ascii="华文中宋" w:hAnsi="华文中宋" w:eastAsia="华文中宋"/>
          <w:b/>
          <w:sz w:val="40"/>
          <w:szCs w:val="40"/>
        </w:rPr>
      </w:pPr>
    </w:p>
    <w:p>
      <w:pPr>
        <w:pStyle w:val="25"/>
        <w:widowControl w:val="0"/>
        <w:autoSpaceDN w:val="0"/>
        <w:adjustRightInd w:val="0"/>
        <w:snapToGrid w:val="0"/>
        <w:ind w:firstLine="801"/>
        <w:jc w:val="center"/>
        <w:rPr>
          <w:rFonts w:ascii="华文中宋" w:hAnsi="华文中宋" w:eastAsia="华文中宋"/>
          <w:b/>
          <w:sz w:val="40"/>
          <w:szCs w:val="40"/>
        </w:rPr>
      </w:pPr>
    </w:p>
    <w:p>
      <w:pPr>
        <w:pStyle w:val="25"/>
        <w:widowControl w:val="0"/>
        <w:autoSpaceDN w:val="0"/>
        <w:adjustRightInd w:val="0"/>
        <w:snapToGrid w:val="0"/>
        <w:ind w:firstLine="801"/>
        <w:jc w:val="center"/>
        <w:rPr>
          <w:rFonts w:ascii="华文中宋" w:hAnsi="华文中宋" w:eastAsia="华文中宋"/>
          <w:b/>
          <w:sz w:val="40"/>
          <w:szCs w:val="40"/>
        </w:rPr>
      </w:pPr>
    </w:p>
    <w:p>
      <w:pPr>
        <w:pStyle w:val="25"/>
        <w:widowControl w:val="0"/>
        <w:autoSpaceDN w:val="0"/>
        <w:adjustRightInd w:val="0"/>
        <w:snapToGrid w:val="0"/>
        <w:ind w:firstLine="801"/>
        <w:jc w:val="center"/>
        <w:rPr>
          <w:rFonts w:ascii="华文中宋" w:hAnsi="华文中宋" w:eastAsia="华文中宋"/>
          <w:b/>
          <w:sz w:val="40"/>
          <w:szCs w:val="40"/>
        </w:rPr>
      </w:pPr>
    </w:p>
    <w:p>
      <w:pPr>
        <w:pStyle w:val="25"/>
        <w:widowControl w:val="0"/>
        <w:autoSpaceDN w:val="0"/>
        <w:adjustRightInd w:val="0"/>
        <w:snapToGrid w:val="0"/>
        <w:ind w:firstLine="801"/>
        <w:jc w:val="center"/>
        <w:rPr>
          <w:rFonts w:ascii="华文中宋" w:hAnsi="华文中宋" w:eastAsia="华文中宋"/>
          <w:b/>
          <w:sz w:val="40"/>
          <w:szCs w:val="40"/>
        </w:rPr>
      </w:pPr>
    </w:p>
    <w:p>
      <w:pPr>
        <w:pStyle w:val="25"/>
        <w:widowControl w:val="0"/>
        <w:autoSpaceDN w:val="0"/>
        <w:adjustRightInd w:val="0"/>
        <w:snapToGrid w:val="0"/>
        <w:ind w:firstLine="801"/>
        <w:jc w:val="center"/>
        <w:rPr>
          <w:rFonts w:ascii="华文中宋" w:hAnsi="华文中宋" w:eastAsia="华文中宋"/>
          <w:b/>
          <w:sz w:val="40"/>
          <w:szCs w:val="40"/>
        </w:rPr>
      </w:pPr>
    </w:p>
    <w:p>
      <w:pPr>
        <w:pStyle w:val="25"/>
        <w:widowControl w:val="0"/>
        <w:autoSpaceDN w:val="0"/>
        <w:adjustRightInd w:val="0"/>
        <w:snapToGrid w:val="0"/>
        <w:ind w:firstLine="801"/>
        <w:jc w:val="center"/>
        <w:rPr>
          <w:rFonts w:ascii="华文中宋" w:hAnsi="华文中宋" w:eastAsia="华文中宋"/>
          <w:b/>
          <w:sz w:val="40"/>
          <w:szCs w:val="40"/>
        </w:rPr>
      </w:pPr>
    </w:p>
    <w:p>
      <w:pPr>
        <w:pStyle w:val="25"/>
        <w:widowControl w:val="0"/>
        <w:autoSpaceDN w:val="0"/>
        <w:adjustRightInd w:val="0"/>
        <w:snapToGrid w:val="0"/>
        <w:ind w:firstLine="801"/>
        <w:jc w:val="center"/>
        <w:rPr>
          <w:rFonts w:ascii="华文中宋" w:hAnsi="华文中宋" w:eastAsia="华文中宋"/>
          <w:b/>
          <w:sz w:val="40"/>
          <w:szCs w:val="40"/>
        </w:rPr>
      </w:pPr>
    </w:p>
    <w:p>
      <w:pPr>
        <w:pStyle w:val="25"/>
        <w:widowControl w:val="0"/>
        <w:autoSpaceDN w:val="0"/>
        <w:adjustRightInd w:val="0"/>
        <w:snapToGrid w:val="0"/>
        <w:ind w:firstLine="801"/>
        <w:jc w:val="center"/>
        <w:rPr>
          <w:rFonts w:ascii="华文中宋" w:hAnsi="华文中宋" w:eastAsia="华文中宋"/>
          <w:b/>
          <w:sz w:val="40"/>
          <w:szCs w:val="40"/>
        </w:rPr>
      </w:pPr>
    </w:p>
    <w:p>
      <w:pPr>
        <w:pStyle w:val="25"/>
        <w:widowControl w:val="0"/>
        <w:autoSpaceDN w:val="0"/>
        <w:adjustRightInd w:val="0"/>
        <w:snapToGrid w:val="0"/>
        <w:ind w:firstLine="801"/>
        <w:jc w:val="center"/>
        <w:rPr>
          <w:rFonts w:ascii="华文中宋" w:hAnsi="华文中宋" w:eastAsia="华文中宋"/>
          <w:b/>
          <w:sz w:val="40"/>
          <w:szCs w:val="40"/>
        </w:rPr>
      </w:pPr>
    </w:p>
    <w:p>
      <w:pPr>
        <w:pStyle w:val="25"/>
        <w:widowControl w:val="0"/>
        <w:autoSpaceDN w:val="0"/>
        <w:adjustRightInd w:val="0"/>
        <w:snapToGrid w:val="0"/>
        <w:ind w:firstLine="801"/>
        <w:jc w:val="center"/>
        <w:rPr>
          <w:rFonts w:ascii="华文中宋" w:hAnsi="华文中宋" w:eastAsia="华文中宋"/>
          <w:b/>
          <w:sz w:val="40"/>
          <w:szCs w:val="40"/>
        </w:rPr>
      </w:pPr>
    </w:p>
    <w:p>
      <w:pPr>
        <w:spacing w:line="560" w:lineRule="exact"/>
        <w:ind w:firstLine="640"/>
        <w:jc w:val="center"/>
        <w:rPr>
          <w:rFonts w:eastAsia="楷体_GB2312"/>
          <w:bCs/>
          <w:szCs w:val="32"/>
        </w:rPr>
      </w:pPr>
      <w:r>
        <w:rPr>
          <w:rFonts w:hint="eastAsia" w:eastAsia="楷体_GB2312"/>
          <w:bCs/>
          <w:szCs w:val="32"/>
        </w:rPr>
        <w:t>长春经济技术开发区管理委员会</w:t>
      </w:r>
    </w:p>
    <w:p>
      <w:pPr>
        <w:pStyle w:val="33"/>
        <w:ind w:firstLine="880"/>
        <w:jc w:val="center"/>
        <w:rPr>
          <w:rFonts w:ascii="仿宋_GB2312" w:hAnsi="宋体" w:eastAsia="仿宋_GB2312"/>
          <w:color w:val="000000"/>
          <w:sz w:val="44"/>
          <w:szCs w:val="44"/>
        </w:rPr>
      </w:pPr>
      <w:bookmarkStart w:id="40" w:name="_GoBack"/>
      <w:bookmarkEnd w:id="40"/>
      <w:r>
        <w:rPr>
          <w:rFonts w:hint="eastAsia" w:ascii="仿宋_GB2312" w:hAnsi="宋体" w:eastAsia="仿宋_GB2312"/>
          <w:color w:val="000000"/>
          <w:sz w:val="44"/>
          <w:szCs w:val="44"/>
          <w:lang w:val="zh-CN"/>
        </w:rPr>
        <w:t>目  录</w:t>
      </w:r>
    </w:p>
    <w:p>
      <w:pPr>
        <w:pStyle w:val="10"/>
        <w:ind w:firstLine="800"/>
        <w:rPr>
          <w:rFonts w:asciiTheme="minorHAnsi" w:hAnsiTheme="minorHAnsi" w:eastAsiaTheme="minorEastAsia" w:cstheme="minorBidi"/>
          <w:sz w:val="21"/>
          <w:szCs w:val="22"/>
          <w14:ligatures w14:val="standardContextual"/>
        </w:rPr>
      </w:pPr>
      <w:r>
        <w:rPr>
          <w:rFonts w:hint="eastAsia" w:hAnsi="宋体"/>
          <w:sz w:val="40"/>
          <w:szCs w:val="40"/>
        </w:rPr>
        <w:fldChar w:fldCharType="begin"/>
      </w:r>
      <w:r>
        <w:rPr>
          <w:rFonts w:hint="eastAsia" w:hAnsi="宋体"/>
          <w:sz w:val="40"/>
          <w:szCs w:val="40"/>
        </w:rPr>
        <w:instrText xml:space="preserve"> TOC \o "1-3" \h \z \u </w:instrText>
      </w:r>
      <w:r>
        <w:rPr>
          <w:rFonts w:hint="eastAsia" w:hAnsi="宋体"/>
          <w:sz w:val="40"/>
          <w:szCs w:val="40"/>
        </w:rPr>
        <w:fldChar w:fldCharType="separate"/>
      </w:r>
      <w:r>
        <w:fldChar w:fldCharType="begin"/>
      </w:r>
      <w:r>
        <w:instrText xml:space="preserve"> HYPERLINK \l "_Toc138594339" </w:instrText>
      </w:r>
      <w:r>
        <w:fldChar w:fldCharType="separate"/>
      </w:r>
      <w:r>
        <w:rPr>
          <w:rStyle w:val="18"/>
          <w:rFonts w:ascii="黑体" w:hAnsi="黑体" w:eastAsia="黑体"/>
        </w:rPr>
        <w:t>一、生态工业园区园区建设主要工作进展</w:t>
      </w:r>
      <w:r>
        <w:tab/>
      </w:r>
      <w:r>
        <w:fldChar w:fldCharType="begin"/>
      </w:r>
      <w:r>
        <w:instrText xml:space="preserve"> PAGEREF _Toc138594339 \h </w:instrText>
      </w:r>
      <w:r>
        <w:fldChar w:fldCharType="separate"/>
      </w:r>
      <w:r>
        <w:t>1</w:t>
      </w:r>
      <w:r>
        <w:fldChar w:fldCharType="end"/>
      </w:r>
      <w:r>
        <w:fldChar w:fldCharType="end"/>
      </w:r>
    </w:p>
    <w:p>
      <w:pPr>
        <w:pStyle w:val="10"/>
        <w:ind w:firstLine="640"/>
        <w:rPr>
          <w:rFonts w:asciiTheme="minorHAnsi" w:hAnsiTheme="minorHAnsi" w:eastAsiaTheme="minorEastAsia" w:cstheme="minorBidi"/>
          <w:sz w:val="21"/>
          <w:szCs w:val="22"/>
          <w14:ligatures w14:val="standardContextual"/>
        </w:rPr>
      </w:pPr>
      <w:r>
        <w:fldChar w:fldCharType="begin"/>
      </w:r>
      <w:r>
        <w:instrText xml:space="preserve"> HYPERLINK \l "_Toc138594340" </w:instrText>
      </w:r>
      <w:r>
        <w:fldChar w:fldCharType="separate"/>
      </w:r>
      <w:r>
        <w:rPr>
          <w:rStyle w:val="18"/>
        </w:rPr>
        <w:t>（一）攻克难关、稳住经济发展基础</w:t>
      </w:r>
      <w:r>
        <w:tab/>
      </w:r>
      <w:r>
        <w:fldChar w:fldCharType="begin"/>
      </w:r>
      <w:r>
        <w:instrText xml:space="preserve"> PAGEREF _Toc138594340 \h </w:instrText>
      </w:r>
      <w:r>
        <w:fldChar w:fldCharType="separate"/>
      </w:r>
      <w:r>
        <w:t>1</w:t>
      </w:r>
      <w:r>
        <w:fldChar w:fldCharType="end"/>
      </w:r>
      <w:r>
        <w:fldChar w:fldCharType="end"/>
      </w:r>
    </w:p>
    <w:p>
      <w:pPr>
        <w:pStyle w:val="10"/>
        <w:ind w:firstLine="640"/>
        <w:rPr>
          <w:rFonts w:asciiTheme="minorHAnsi" w:hAnsiTheme="minorHAnsi" w:eastAsiaTheme="minorEastAsia" w:cstheme="minorBidi"/>
          <w:sz w:val="21"/>
          <w:szCs w:val="22"/>
          <w14:ligatures w14:val="standardContextual"/>
        </w:rPr>
      </w:pPr>
      <w:r>
        <w:fldChar w:fldCharType="begin"/>
      </w:r>
      <w:r>
        <w:instrText xml:space="preserve"> HYPERLINK \l "_Toc138594341" </w:instrText>
      </w:r>
      <w:r>
        <w:fldChar w:fldCharType="separate"/>
      </w:r>
      <w:r>
        <w:rPr>
          <w:rStyle w:val="18"/>
        </w:rPr>
        <w:t>（二）务实高效、推进重点项目建设</w:t>
      </w:r>
      <w:r>
        <w:tab/>
      </w:r>
      <w:r>
        <w:fldChar w:fldCharType="begin"/>
      </w:r>
      <w:r>
        <w:instrText xml:space="preserve"> PAGEREF _Toc138594341 \h </w:instrText>
      </w:r>
      <w:r>
        <w:fldChar w:fldCharType="separate"/>
      </w:r>
      <w:r>
        <w:t>2</w:t>
      </w:r>
      <w:r>
        <w:fldChar w:fldCharType="end"/>
      </w:r>
      <w:r>
        <w:fldChar w:fldCharType="end"/>
      </w:r>
    </w:p>
    <w:p>
      <w:pPr>
        <w:pStyle w:val="10"/>
        <w:ind w:firstLine="640"/>
        <w:rPr>
          <w:rFonts w:asciiTheme="minorHAnsi" w:hAnsiTheme="minorHAnsi" w:eastAsiaTheme="minorEastAsia" w:cstheme="minorBidi"/>
          <w:sz w:val="21"/>
          <w:szCs w:val="22"/>
          <w14:ligatures w14:val="standardContextual"/>
        </w:rPr>
      </w:pPr>
      <w:r>
        <w:fldChar w:fldCharType="begin"/>
      </w:r>
      <w:r>
        <w:instrText xml:space="preserve"> HYPERLINK \l "_Toc138594342" </w:instrText>
      </w:r>
      <w:r>
        <w:fldChar w:fldCharType="separate"/>
      </w:r>
      <w:r>
        <w:rPr>
          <w:rStyle w:val="18"/>
        </w:rPr>
        <w:t>（三）多措并举、优化城市建设管理</w:t>
      </w:r>
      <w:r>
        <w:tab/>
      </w:r>
      <w:r>
        <w:fldChar w:fldCharType="begin"/>
      </w:r>
      <w:r>
        <w:instrText xml:space="preserve"> PAGEREF _Toc138594342 \h </w:instrText>
      </w:r>
      <w:r>
        <w:fldChar w:fldCharType="separate"/>
      </w:r>
      <w:r>
        <w:t>4</w:t>
      </w:r>
      <w:r>
        <w:fldChar w:fldCharType="end"/>
      </w:r>
      <w:r>
        <w:fldChar w:fldCharType="end"/>
      </w:r>
    </w:p>
    <w:p>
      <w:pPr>
        <w:pStyle w:val="10"/>
        <w:ind w:firstLine="640"/>
        <w:rPr>
          <w:rFonts w:asciiTheme="minorHAnsi" w:hAnsiTheme="minorHAnsi" w:eastAsiaTheme="minorEastAsia" w:cstheme="minorBidi"/>
          <w:sz w:val="21"/>
          <w:szCs w:val="22"/>
          <w14:ligatures w14:val="standardContextual"/>
        </w:rPr>
      </w:pPr>
      <w:r>
        <w:fldChar w:fldCharType="begin"/>
      </w:r>
      <w:r>
        <w:instrText xml:space="preserve"> HYPERLINK \l "_Toc138594343" </w:instrText>
      </w:r>
      <w:r>
        <w:fldChar w:fldCharType="separate"/>
      </w:r>
      <w:r>
        <w:rPr>
          <w:rStyle w:val="18"/>
        </w:rPr>
        <w:t>（四）面面俱到、督察整改生态环境</w:t>
      </w:r>
      <w:r>
        <w:tab/>
      </w:r>
      <w:r>
        <w:fldChar w:fldCharType="begin"/>
      </w:r>
      <w:r>
        <w:instrText xml:space="preserve"> PAGEREF _Toc138594343 \h </w:instrText>
      </w:r>
      <w:r>
        <w:fldChar w:fldCharType="separate"/>
      </w:r>
      <w:r>
        <w:t>5</w:t>
      </w:r>
      <w:r>
        <w:fldChar w:fldCharType="end"/>
      </w:r>
      <w:r>
        <w:fldChar w:fldCharType="end"/>
      </w:r>
    </w:p>
    <w:p>
      <w:pPr>
        <w:pStyle w:val="10"/>
        <w:ind w:firstLine="640"/>
        <w:rPr>
          <w:rFonts w:asciiTheme="minorHAnsi" w:hAnsiTheme="minorHAnsi" w:eastAsiaTheme="minorEastAsia" w:cstheme="minorBidi"/>
          <w:sz w:val="21"/>
          <w:szCs w:val="22"/>
          <w14:ligatures w14:val="standardContextual"/>
        </w:rPr>
      </w:pPr>
      <w:r>
        <w:fldChar w:fldCharType="begin"/>
      </w:r>
      <w:r>
        <w:instrText xml:space="preserve"> HYPERLINK \l "_Toc138594344" </w:instrText>
      </w:r>
      <w:r>
        <w:fldChar w:fldCharType="separate"/>
      </w:r>
      <w:r>
        <w:rPr>
          <w:rStyle w:val="18"/>
          <w:rFonts w:ascii="黑体" w:hAnsi="黑体" w:eastAsia="黑体"/>
        </w:rPr>
        <w:t>二、取得的成效</w:t>
      </w:r>
      <w:r>
        <w:tab/>
      </w:r>
      <w:r>
        <w:fldChar w:fldCharType="begin"/>
      </w:r>
      <w:r>
        <w:instrText xml:space="preserve"> PAGEREF _Toc138594344 \h </w:instrText>
      </w:r>
      <w:r>
        <w:fldChar w:fldCharType="separate"/>
      </w:r>
      <w:r>
        <w:t>7</w:t>
      </w:r>
      <w:r>
        <w:fldChar w:fldCharType="end"/>
      </w:r>
      <w:r>
        <w:fldChar w:fldCharType="end"/>
      </w:r>
    </w:p>
    <w:p>
      <w:pPr>
        <w:pStyle w:val="10"/>
        <w:ind w:firstLine="640"/>
        <w:rPr>
          <w:rFonts w:asciiTheme="minorHAnsi" w:hAnsiTheme="minorHAnsi" w:eastAsiaTheme="minorEastAsia" w:cstheme="minorBidi"/>
          <w:sz w:val="21"/>
          <w:szCs w:val="22"/>
          <w14:ligatures w14:val="standardContextual"/>
        </w:rPr>
      </w:pPr>
      <w:r>
        <w:fldChar w:fldCharType="begin"/>
      </w:r>
      <w:r>
        <w:instrText xml:space="preserve"> HYPERLINK \l "_Toc138594345" </w:instrText>
      </w:r>
      <w:r>
        <w:fldChar w:fldCharType="separate"/>
      </w:r>
      <w:r>
        <w:rPr>
          <w:rStyle w:val="18"/>
        </w:rPr>
        <w:t>（一）生态保护成果显著</w:t>
      </w:r>
      <w:r>
        <w:tab/>
      </w:r>
      <w:r>
        <w:fldChar w:fldCharType="begin"/>
      </w:r>
      <w:r>
        <w:instrText xml:space="preserve"> PAGEREF _Toc138594345 \h </w:instrText>
      </w:r>
      <w:r>
        <w:fldChar w:fldCharType="separate"/>
      </w:r>
      <w:r>
        <w:t>7</w:t>
      </w:r>
      <w:r>
        <w:fldChar w:fldCharType="end"/>
      </w:r>
      <w:r>
        <w:fldChar w:fldCharType="end"/>
      </w:r>
    </w:p>
    <w:p>
      <w:pPr>
        <w:pStyle w:val="10"/>
        <w:ind w:firstLine="640"/>
        <w:rPr>
          <w:rFonts w:asciiTheme="minorHAnsi" w:hAnsiTheme="minorHAnsi" w:eastAsiaTheme="minorEastAsia" w:cstheme="minorBidi"/>
          <w:sz w:val="21"/>
          <w:szCs w:val="22"/>
          <w14:ligatures w14:val="standardContextual"/>
        </w:rPr>
      </w:pPr>
      <w:r>
        <w:fldChar w:fldCharType="begin"/>
      </w:r>
      <w:r>
        <w:instrText xml:space="preserve"> HYPERLINK \l "_Toc138594346" </w:instrText>
      </w:r>
      <w:r>
        <w:fldChar w:fldCharType="separate"/>
      </w:r>
      <w:r>
        <w:rPr>
          <w:rStyle w:val="18"/>
        </w:rPr>
        <w:t>（二）构建高效低碳多式联运物流服务体系</w:t>
      </w:r>
      <w:r>
        <w:tab/>
      </w:r>
      <w:r>
        <w:fldChar w:fldCharType="begin"/>
      </w:r>
      <w:r>
        <w:instrText xml:space="preserve"> PAGEREF _Toc138594346 \h </w:instrText>
      </w:r>
      <w:r>
        <w:fldChar w:fldCharType="separate"/>
      </w:r>
      <w:r>
        <w:t>9</w:t>
      </w:r>
      <w:r>
        <w:fldChar w:fldCharType="end"/>
      </w:r>
      <w:r>
        <w:fldChar w:fldCharType="end"/>
      </w:r>
    </w:p>
    <w:p>
      <w:pPr>
        <w:pStyle w:val="10"/>
        <w:ind w:firstLine="640"/>
        <w:rPr>
          <w:rFonts w:asciiTheme="minorHAnsi" w:hAnsiTheme="minorHAnsi" w:eastAsiaTheme="minorEastAsia" w:cstheme="minorBidi"/>
          <w:sz w:val="21"/>
          <w:szCs w:val="22"/>
          <w14:ligatures w14:val="standardContextual"/>
        </w:rPr>
      </w:pPr>
      <w:r>
        <w:fldChar w:fldCharType="begin"/>
      </w:r>
      <w:r>
        <w:instrText xml:space="preserve"> HYPERLINK \l "_Toc138594347" </w:instrText>
      </w:r>
      <w:r>
        <w:fldChar w:fldCharType="separate"/>
      </w:r>
      <w:r>
        <w:rPr>
          <w:rStyle w:val="18"/>
        </w:rPr>
        <w:t>（三）拓宽渠道招商引资显成效</w:t>
      </w:r>
      <w:r>
        <w:tab/>
      </w:r>
      <w:r>
        <w:fldChar w:fldCharType="begin"/>
      </w:r>
      <w:r>
        <w:instrText xml:space="preserve"> PAGEREF _Toc138594347 \h </w:instrText>
      </w:r>
      <w:r>
        <w:fldChar w:fldCharType="separate"/>
      </w:r>
      <w:r>
        <w:t>11</w:t>
      </w:r>
      <w:r>
        <w:fldChar w:fldCharType="end"/>
      </w:r>
      <w:r>
        <w:fldChar w:fldCharType="end"/>
      </w:r>
    </w:p>
    <w:p>
      <w:pPr>
        <w:pStyle w:val="10"/>
        <w:ind w:firstLine="640"/>
        <w:rPr>
          <w:rFonts w:asciiTheme="minorHAnsi" w:hAnsiTheme="minorHAnsi" w:eastAsiaTheme="minorEastAsia" w:cstheme="minorBidi"/>
          <w:sz w:val="21"/>
          <w:szCs w:val="22"/>
          <w14:ligatures w14:val="standardContextual"/>
        </w:rPr>
      </w:pPr>
      <w:r>
        <w:fldChar w:fldCharType="begin"/>
      </w:r>
      <w:r>
        <w:instrText xml:space="preserve"> HYPERLINK \l "_Toc138594348" </w:instrText>
      </w:r>
      <w:r>
        <w:fldChar w:fldCharType="separate"/>
      </w:r>
      <w:r>
        <w:rPr>
          <w:rStyle w:val="18"/>
        </w:rPr>
        <w:t>（四）集聚创新力量，打造科技创新高地</w:t>
      </w:r>
      <w:r>
        <w:tab/>
      </w:r>
      <w:r>
        <w:fldChar w:fldCharType="begin"/>
      </w:r>
      <w:r>
        <w:instrText xml:space="preserve"> PAGEREF _Toc138594348 \h </w:instrText>
      </w:r>
      <w:r>
        <w:fldChar w:fldCharType="separate"/>
      </w:r>
      <w:r>
        <w:t>12</w:t>
      </w:r>
      <w:r>
        <w:fldChar w:fldCharType="end"/>
      </w:r>
      <w:r>
        <w:fldChar w:fldCharType="end"/>
      </w:r>
    </w:p>
    <w:p>
      <w:pPr>
        <w:pStyle w:val="10"/>
        <w:ind w:firstLine="640"/>
        <w:rPr>
          <w:rFonts w:asciiTheme="minorHAnsi" w:hAnsiTheme="minorHAnsi" w:eastAsiaTheme="minorEastAsia" w:cstheme="minorBidi"/>
          <w:sz w:val="21"/>
          <w:szCs w:val="22"/>
          <w14:ligatures w14:val="standardContextual"/>
        </w:rPr>
      </w:pPr>
      <w:r>
        <w:fldChar w:fldCharType="begin"/>
      </w:r>
      <w:r>
        <w:instrText xml:space="preserve"> HYPERLINK \l "_Toc138594349" </w:instrText>
      </w:r>
      <w:r>
        <w:fldChar w:fldCharType="separate"/>
      </w:r>
      <w:r>
        <w:rPr>
          <w:rStyle w:val="18"/>
          <w:rFonts w:ascii="黑体" w:hAnsi="黑体" w:eastAsia="黑体"/>
        </w:rPr>
        <w:t>三、建设中存在的问题和制约因素</w:t>
      </w:r>
      <w:r>
        <w:tab/>
      </w:r>
      <w:r>
        <w:fldChar w:fldCharType="begin"/>
      </w:r>
      <w:r>
        <w:instrText xml:space="preserve"> PAGEREF _Toc138594349 \h </w:instrText>
      </w:r>
      <w:r>
        <w:fldChar w:fldCharType="separate"/>
      </w:r>
      <w:r>
        <w:t>14</w:t>
      </w:r>
      <w:r>
        <w:fldChar w:fldCharType="end"/>
      </w:r>
      <w:r>
        <w:fldChar w:fldCharType="end"/>
      </w:r>
    </w:p>
    <w:p>
      <w:pPr>
        <w:pStyle w:val="10"/>
        <w:ind w:firstLine="640"/>
        <w:rPr>
          <w:rFonts w:asciiTheme="minorHAnsi" w:hAnsiTheme="minorHAnsi" w:eastAsiaTheme="minorEastAsia" w:cstheme="minorBidi"/>
          <w:sz w:val="21"/>
          <w:szCs w:val="22"/>
          <w14:ligatures w14:val="standardContextual"/>
        </w:rPr>
      </w:pPr>
      <w:r>
        <w:fldChar w:fldCharType="begin"/>
      </w:r>
      <w:r>
        <w:instrText xml:space="preserve"> HYPERLINK \l "_Toc138594350" </w:instrText>
      </w:r>
      <w:r>
        <w:fldChar w:fldCharType="separate"/>
      </w:r>
      <w:r>
        <w:rPr>
          <w:rStyle w:val="18"/>
        </w:rPr>
        <w:t>（一）生态链网建设有待进一步强化</w:t>
      </w:r>
      <w:r>
        <w:tab/>
      </w:r>
      <w:r>
        <w:fldChar w:fldCharType="begin"/>
      </w:r>
      <w:r>
        <w:instrText xml:space="preserve"> PAGEREF _Toc138594350 \h </w:instrText>
      </w:r>
      <w:r>
        <w:fldChar w:fldCharType="separate"/>
      </w:r>
      <w:r>
        <w:t>14</w:t>
      </w:r>
      <w:r>
        <w:fldChar w:fldCharType="end"/>
      </w:r>
      <w:r>
        <w:fldChar w:fldCharType="end"/>
      </w:r>
    </w:p>
    <w:p>
      <w:pPr>
        <w:pStyle w:val="10"/>
        <w:ind w:firstLine="640"/>
        <w:rPr>
          <w:rFonts w:asciiTheme="minorHAnsi" w:hAnsiTheme="minorHAnsi" w:eastAsiaTheme="minorEastAsia" w:cstheme="minorBidi"/>
          <w:sz w:val="21"/>
          <w:szCs w:val="22"/>
          <w14:ligatures w14:val="standardContextual"/>
        </w:rPr>
      </w:pPr>
      <w:r>
        <w:fldChar w:fldCharType="begin"/>
      </w:r>
      <w:r>
        <w:instrText xml:space="preserve"> HYPERLINK \l "_Toc138594351" </w:instrText>
      </w:r>
      <w:r>
        <w:fldChar w:fldCharType="separate"/>
      </w:r>
      <w:r>
        <w:rPr>
          <w:rStyle w:val="18"/>
        </w:rPr>
        <w:t>（二）实现双碳目标面临挑战</w:t>
      </w:r>
      <w:r>
        <w:tab/>
      </w:r>
      <w:r>
        <w:fldChar w:fldCharType="begin"/>
      </w:r>
      <w:r>
        <w:instrText xml:space="preserve"> PAGEREF _Toc138594351 \h </w:instrText>
      </w:r>
      <w:r>
        <w:fldChar w:fldCharType="separate"/>
      </w:r>
      <w:r>
        <w:t>15</w:t>
      </w:r>
      <w:r>
        <w:fldChar w:fldCharType="end"/>
      </w:r>
      <w:r>
        <w:fldChar w:fldCharType="end"/>
      </w:r>
    </w:p>
    <w:p>
      <w:pPr>
        <w:pStyle w:val="10"/>
        <w:ind w:firstLine="640"/>
        <w:rPr>
          <w:rFonts w:asciiTheme="minorHAnsi" w:hAnsiTheme="minorHAnsi" w:eastAsiaTheme="minorEastAsia" w:cstheme="minorBidi"/>
          <w:sz w:val="21"/>
          <w:szCs w:val="22"/>
          <w14:ligatures w14:val="standardContextual"/>
        </w:rPr>
      </w:pPr>
      <w:r>
        <w:fldChar w:fldCharType="begin"/>
      </w:r>
      <w:r>
        <w:instrText xml:space="preserve"> HYPERLINK \l "_Toc138594352" </w:instrText>
      </w:r>
      <w:r>
        <w:fldChar w:fldCharType="separate"/>
      </w:r>
      <w:r>
        <w:rPr>
          <w:rStyle w:val="18"/>
        </w:rPr>
        <w:t>（三）减污降碳协同机制有待提升</w:t>
      </w:r>
      <w:r>
        <w:tab/>
      </w:r>
      <w:r>
        <w:fldChar w:fldCharType="begin"/>
      </w:r>
      <w:r>
        <w:instrText xml:space="preserve"> PAGEREF _Toc138594352 \h </w:instrText>
      </w:r>
      <w:r>
        <w:fldChar w:fldCharType="separate"/>
      </w:r>
      <w:r>
        <w:t>16</w:t>
      </w:r>
      <w:r>
        <w:fldChar w:fldCharType="end"/>
      </w:r>
      <w:r>
        <w:fldChar w:fldCharType="end"/>
      </w:r>
    </w:p>
    <w:p>
      <w:pPr>
        <w:pStyle w:val="10"/>
        <w:ind w:firstLine="640"/>
        <w:rPr>
          <w:rFonts w:asciiTheme="minorHAnsi" w:hAnsiTheme="minorHAnsi" w:eastAsiaTheme="minorEastAsia" w:cstheme="minorBidi"/>
          <w:sz w:val="21"/>
          <w:szCs w:val="22"/>
          <w14:ligatures w14:val="standardContextual"/>
        </w:rPr>
      </w:pPr>
      <w:r>
        <w:fldChar w:fldCharType="begin"/>
      </w:r>
      <w:r>
        <w:instrText xml:space="preserve"> HYPERLINK \l "_Toc138594353" </w:instrText>
      </w:r>
      <w:r>
        <w:fldChar w:fldCharType="separate"/>
      </w:r>
      <w:r>
        <w:rPr>
          <w:rStyle w:val="18"/>
          <w:rFonts w:ascii="黑体" w:hAnsi="黑体" w:eastAsia="黑体"/>
        </w:rPr>
        <w:t>四、下一阶段工作计划</w:t>
      </w:r>
      <w:r>
        <w:tab/>
      </w:r>
      <w:r>
        <w:fldChar w:fldCharType="begin"/>
      </w:r>
      <w:r>
        <w:instrText xml:space="preserve"> PAGEREF _Toc138594353 \h </w:instrText>
      </w:r>
      <w:r>
        <w:fldChar w:fldCharType="separate"/>
      </w:r>
      <w:r>
        <w:t>16</w:t>
      </w:r>
      <w:r>
        <w:fldChar w:fldCharType="end"/>
      </w:r>
      <w:r>
        <w:fldChar w:fldCharType="end"/>
      </w:r>
    </w:p>
    <w:p>
      <w:pPr>
        <w:pStyle w:val="10"/>
        <w:ind w:firstLine="640"/>
        <w:rPr>
          <w:rFonts w:asciiTheme="minorHAnsi" w:hAnsiTheme="minorHAnsi" w:eastAsiaTheme="minorEastAsia" w:cstheme="minorBidi"/>
          <w:sz w:val="21"/>
          <w:szCs w:val="22"/>
          <w14:ligatures w14:val="standardContextual"/>
        </w:rPr>
      </w:pPr>
      <w:r>
        <w:fldChar w:fldCharType="begin"/>
      </w:r>
      <w:r>
        <w:instrText xml:space="preserve"> HYPERLINK \l "_Toc138594354" </w:instrText>
      </w:r>
      <w:r>
        <w:fldChar w:fldCharType="separate"/>
      </w:r>
      <w:r>
        <w:rPr>
          <w:rStyle w:val="18"/>
        </w:rPr>
        <w:t>（一）加强</w:t>
      </w:r>
      <w:r>
        <w:rPr>
          <w:rStyle w:val="18"/>
          <w:spacing w:val="15"/>
          <w:shd w:val="clear" w:color="auto" w:fill="FFFFFF"/>
        </w:rPr>
        <w:t>城市建设管理</w:t>
      </w:r>
      <w:r>
        <w:tab/>
      </w:r>
      <w:r>
        <w:fldChar w:fldCharType="begin"/>
      </w:r>
      <w:r>
        <w:instrText xml:space="preserve"> PAGEREF _Toc138594354 \h </w:instrText>
      </w:r>
      <w:r>
        <w:fldChar w:fldCharType="separate"/>
      </w:r>
      <w:r>
        <w:t>16</w:t>
      </w:r>
      <w:r>
        <w:fldChar w:fldCharType="end"/>
      </w:r>
      <w:r>
        <w:fldChar w:fldCharType="end"/>
      </w:r>
    </w:p>
    <w:p>
      <w:pPr>
        <w:pStyle w:val="10"/>
        <w:ind w:firstLine="640"/>
        <w:rPr>
          <w:rFonts w:asciiTheme="minorHAnsi" w:hAnsiTheme="minorHAnsi" w:eastAsiaTheme="minorEastAsia" w:cstheme="minorBidi"/>
          <w:sz w:val="21"/>
          <w:szCs w:val="22"/>
          <w14:ligatures w14:val="standardContextual"/>
        </w:rPr>
      </w:pPr>
      <w:r>
        <w:fldChar w:fldCharType="begin"/>
      </w:r>
      <w:r>
        <w:instrText xml:space="preserve"> HYPERLINK \l "_Toc138594355" </w:instrText>
      </w:r>
      <w:r>
        <w:fldChar w:fldCharType="separate"/>
      </w:r>
      <w:r>
        <w:rPr>
          <w:rStyle w:val="18"/>
        </w:rPr>
        <w:t>（二）优化产业空间结构布局</w:t>
      </w:r>
      <w:r>
        <w:tab/>
      </w:r>
      <w:r>
        <w:fldChar w:fldCharType="begin"/>
      </w:r>
      <w:r>
        <w:instrText xml:space="preserve"> PAGEREF _Toc138594355 \h </w:instrText>
      </w:r>
      <w:r>
        <w:fldChar w:fldCharType="separate"/>
      </w:r>
      <w:r>
        <w:t>17</w:t>
      </w:r>
      <w:r>
        <w:fldChar w:fldCharType="end"/>
      </w:r>
      <w:r>
        <w:fldChar w:fldCharType="end"/>
      </w:r>
    </w:p>
    <w:p>
      <w:pPr>
        <w:pStyle w:val="10"/>
        <w:ind w:firstLine="640"/>
        <w:rPr>
          <w:rFonts w:asciiTheme="minorHAnsi" w:hAnsiTheme="minorHAnsi" w:eastAsiaTheme="minorEastAsia" w:cstheme="minorBidi"/>
          <w:sz w:val="21"/>
          <w:szCs w:val="22"/>
          <w14:ligatures w14:val="standardContextual"/>
        </w:rPr>
      </w:pPr>
      <w:r>
        <w:fldChar w:fldCharType="begin"/>
      </w:r>
      <w:r>
        <w:instrText xml:space="preserve"> HYPERLINK \l "_Toc138594356" </w:instrText>
      </w:r>
      <w:r>
        <w:fldChar w:fldCharType="separate"/>
      </w:r>
      <w:r>
        <w:rPr>
          <w:rStyle w:val="18"/>
        </w:rPr>
        <w:t>（三）巩固</w:t>
      </w:r>
      <w:r>
        <w:rPr>
          <w:rStyle w:val="18"/>
          <w:spacing w:val="15"/>
          <w:shd w:val="clear" w:color="auto" w:fill="FFFFFF"/>
        </w:rPr>
        <w:t>创建东北特色的生态工业示范园</w:t>
      </w:r>
      <w:r>
        <w:tab/>
      </w:r>
      <w:r>
        <w:fldChar w:fldCharType="begin"/>
      </w:r>
      <w:r>
        <w:instrText xml:space="preserve"> PAGEREF _Toc138594356 \h </w:instrText>
      </w:r>
      <w:r>
        <w:fldChar w:fldCharType="separate"/>
      </w:r>
      <w:r>
        <w:t>18</w:t>
      </w:r>
      <w:r>
        <w:fldChar w:fldCharType="end"/>
      </w:r>
      <w:r>
        <w:fldChar w:fldCharType="end"/>
      </w:r>
    </w:p>
    <w:p>
      <w:pPr>
        <w:pStyle w:val="10"/>
        <w:ind w:firstLine="640"/>
        <w:rPr>
          <w:rFonts w:asciiTheme="minorHAnsi" w:hAnsiTheme="minorHAnsi" w:eastAsiaTheme="minorEastAsia" w:cstheme="minorBidi"/>
          <w:sz w:val="21"/>
          <w:szCs w:val="22"/>
          <w14:ligatures w14:val="standardContextual"/>
        </w:rPr>
      </w:pPr>
      <w:r>
        <w:fldChar w:fldCharType="begin"/>
      </w:r>
      <w:r>
        <w:instrText xml:space="preserve"> HYPERLINK \l "_Toc138594357" </w:instrText>
      </w:r>
      <w:r>
        <w:fldChar w:fldCharType="separate"/>
      </w:r>
      <w:r>
        <w:rPr>
          <w:rStyle w:val="18"/>
          <w:rFonts w:ascii="黑体" w:hAnsi="黑体" w:eastAsia="黑体"/>
        </w:rPr>
        <w:t>五、对照考核表</w:t>
      </w:r>
      <w:r>
        <w:tab/>
      </w:r>
      <w:r>
        <w:fldChar w:fldCharType="begin"/>
      </w:r>
      <w:r>
        <w:instrText xml:space="preserve"> PAGEREF _Toc138594357 \h </w:instrText>
      </w:r>
      <w:r>
        <w:fldChar w:fldCharType="separate"/>
      </w:r>
      <w:r>
        <w:t>20</w:t>
      </w:r>
      <w:r>
        <w:fldChar w:fldCharType="end"/>
      </w:r>
      <w:r>
        <w:fldChar w:fldCharType="end"/>
      </w:r>
    </w:p>
    <w:p>
      <w:pPr>
        <w:ind w:firstLine="803"/>
      </w:pPr>
      <w:r>
        <w:rPr>
          <w:rFonts w:hint="eastAsia" w:ascii="仿宋_GB2312" w:hAnsi="宋体"/>
          <w:b/>
          <w:bCs/>
          <w:sz w:val="40"/>
          <w:szCs w:val="40"/>
          <w:lang w:val="zh-CN"/>
        </w:rPr>
        <w:fldChar w:fldCharType="end"/>
      </w:r>
    </w:p>
    <w:p>
      <w:pPr>
        <w:ind w:firstLine="640"/>
        <w:sectPr>
          <w:headerReference r:id="rId5" w:type="default"/>
          <w:footerReference r:id="rId6" w:type="default"/>
          <w:footerReference r:id="rId7" w:type="even"/>
          <w:pgSz w:w="11906" w:h="16838"/>
          <w:pgMar w:top="1701" w:right="1531" w:bottom="1701" w:left="1531" w:header="851" w:footer="1077" w:gutter="0"/>
          <w:pgNumType w:start="1"/>
          <w:cols w:space="720" w:num="1"/>
          <w:docGrid w:type="lines" w:linePitch="312" w:charSpace="0"/>
        </w:sectPr>
      </w:pPr>
    </w:p>
    <w:p>
      <w:pPr>
        <w:tabs>
          <w:tab w:val="left" w:pos="2751"/>
        </w:tabs>
        <w:adjustRightInd w:val="0"/>
        <w:snapToGrid w:val="0"/>
        <w:spacing w:line="408" w:lineRule="auto"/>
        <w:ind w:firstLine="640"/>
        <w:jc w:val="left"/>
        <w:rPr>
          <w:rFonts w:ascii="黑体" w:hAnsi="黑体" w:eastAsia="黑体"/>
        </w:rPr>
      </w:pPr>
    </w:p>
    <w:p>
      <w:pPr>
        <w:tabs>
          <w:tab w:val="left" w:pos="2751"/>
        </w:tabs>
        <w:adjustRightInd w:val="0"/>
        <w:snapToGrid w:val="0"/>
        <w:spacing w:line="360" w:lineRule="auto"/>
        <w:ind w:firstLine="640"/>
        <w:outlineLvl w:val="0"/>
        <w:rPr>
          <w:rFonts w:ascii="黑体" w:hAnsi="黑体" w:eastAsia="黑体"/>
          <w:szCs w:val="32"/>
        </w:rPr>
      </w:pPr>
      <w:bookmarkStart w:id="0" w:name="_Toc138256984"/>
      <w:bookmarkStart w:id="1" w:name="_Toc138594339"/>
      <w:r>
        <w:rPr>
          <w:rFonts w:hint="eastAsia" w:ascii="黑体" w:hAnsi="黑体" w:eastAsia="黑体"/>
          <w:szCs w:val="32"/>
        </w:rPr>
        <w:t>一、生态工业园区园区建设主要工作进展</w:t>
      </w:r>
      <w:bookmarkEnd w:id="0"/>
      <w:bookmarkEnd w:id="1"/>
    </w:p>
    <w:p>
      <w:pPr>
        <w:ind w:firstLine="640"/>
      </w:pPr>
      <w:r>
        <w:rPr>
          <w:rFonts w:hint="eastAsia"/>
        </w:rPr>
        <w:t>2022年对于长春经开区来说，是振兴发展道路上充满挑战与不平凡的一年。在面对复杂且严峻的现状及多个超出预期的挑战时，经开区全面实施了党的二十大精神，坚定不移地贯彻“疫情防控、经济稳定、安全发展”的要求。依托“一主六双”“六城联动”“十大工程”“四个服务”等主要战略和任务布局，紧紧抓住“止跌、回升、增长”的目标，成功应对了经济社会的停滞、重启与复苏的重大挑战。此外，长春经开区积极寻求建立新的发展模式，尤其在生态工业领域，坚决将打造国家级生态工业示范园区作为关键使命，重视绿色发展和可持续策略，以使生态工业示范园区的形象更加闪亮。</w:t>
      </w:r>
    </w:p>
    <w:p>
      <w:pPr>
        <w:ind w:firstLine="640"/>
      </w:pPr>
      <w:r>
        <w:rPr>
          <w:rFonts w:hint="eastAsia"/>
        </w:rPr>
        <w:t>经历了十余年建设，2</w:t>
      </w:r>
      <w:r>
        <w:t>022</w:t>
      </w:r>
      <w:r>
        <w:rPr>
          <w:rFonts w:hint="eastAsia"/>
        </w:rPr>
        <w:t>年11月19日，在中国生态文明论坛南昌年会上，长春经济技术开发区成功获批生态文明建设示范区（生态工业园区），成为我省第二个获得这一国家级荣誉的园区。我区从优化园区空间布局、调整提升产业结构、构建循环经济产业链、提高能源资源利用效率、加强污染集中防治、强化基础设施共享等方面，走出了一条发展与保护并进、资源节约与环境友好共存之路。</w:t>
      </w:r>
    </w:p>
    <w:p>
      <w:pPr>
        <w:pStyle w:val="11"/>
        <w:ind w:firstLine="643"/>
      </w:pPr>
      <w:bookmarkStart w:id="2" w:name="_Toc138594340"/>
      <w:bookmarkStart w:id="3" w:name="_Toc138256985"/>
      <w:bookmarkStart w:id="4" w:name="_Toc73301706"/>
      <w:r>
        <w:rPr>
          <w:rFonts w:hint="eastAsia"/>
        </w:rPr>
        <w:t>（一）攻克难关、稳住经济发展基础</w:t>
      </w:r>
      <w:bookmarkEnd w:id="2"/>
      <w:bookmarkEnd w:id="3"/>
    </w:p>
    <w:p>
      <w:pPr>
        <w:ind w:firstLine="640"/>
      </w:pPr>
      <w:r>
        <w:rPr>
          <w:rFonts w:hint="eastAsia"/>
        </w:rPr>
        <w:t>在疫情最严峻的时期，经开区率先在全市执行大型工业企业的"闭环管理"持续生产，尽可能减少企业损失。自5月起，经开区积极推动144家规模以上工业企业稳定生产、满产甚至超产，对77个产值过亿元的企业实行班子保障，对关键企业实行驻厂员机制，落实责任、按周调度，密集监控、深度发掘，全年实现规模以上工业总产值765.9亿元，超过长春市平均增速6.3个百分点。富维安道拓、派格、邦迪、一汽丰田等26家企业荣列“长春企业100强”，其中富维安道拓连续6年产值破百亿。珩辉光电、联塑实业等23家企业成为省级“专精特新”企业的候选名单。福耀、邦迪、马瑞利等16家企业在经济下行压力中纷纷展开扩产。</w:t>
      </w:r>
    </w:p>
    <w:p>
      <w:pPr>
        <w:ind w:firstLine="640"/>
        <w:rPr>
          <w:rFonts w:hAnsi="宋体"/>
          <w:color w:val="000000"/>
        </w:rPr>
      </w:pPr>
      <w:r>
        <w:rPr>
          <w:rFonts w:hint="eastAsia"/>
        </w:rPr>
        <w:t>2</w:t>
      </w:r>
      <w:r>
        <w:t>022</w:t>
      </w:r>
      <w:r>
        <w:rPr>
          <w:rFonts w:hint="eastAsia"/>
        </w:rPr>
        <w:t>年，全年实现地区生</w:t>
      </w:r>
      <w:r>
        <w:rPr>
          <w:rFonts w:hint="eastAsia" w:hAnsi="宋体"/>
          <w:color w:val="000000"/>
        </w:rPr>
        <w:t>产总值767.2亿元，同比下降1.9%，高于全市2.6个百分点。其中，第一产业实现增加值0.15亿元，同比下降12%；第二产业实现增加值309.5亿元，同比下降0.8%；第三产业实现增加值457.6亿元，同比下降2.7%。</w:t>
      </w:r>
      <w:r>
        <w:rPr>
          <w:rFonts w:hint="eastAsia" w:hAnsi="华文中宋"/>
        </w:rPr>
        <w:t>全年实现固定资产投资113.3亿元，同比增长10.27%，其中工业项目投资34亿元，占比18%；</w:t>
      </w:r>
      <w:r>
        <w:rPr>
          <w:rFonts w:hint="eastAsia" w:hAnsi="仿宋" w:cs="仿宋_GB2312"/>
        </w:rPr>
        <w:t>2022年经开区实际利用外资完成2620.3万美元；实际利用内资完成107亿元。</w:t>
      </w:r>
    </w:p>
    <w:p>
      <w:pPr>
        <w:pStyle w:val="11"/>
        <w:ind w:firstLine="643"/>
      </w:pPr>
      <w:bookmarkStart w:id="5" w:name="_Toc138594341"/>
      <w:bookmarkStart w:id="6" w:name="_Toc138256986"/>
      <w:r>
        <w:rPr>
          <w:rFonts w:hint="eastAsia"/>
        </w:rPr>
        <w:t>（二）务实高效、推进重点项目建设</w:t>
      </w:r>
      <w:bookmarkEnd w:id="4"/>
      <w:bookmarkEnd w:id="5"/>
      <w:bookmarkEnd w:id="6"/>
    </w:p>
    <w:p>
      <w:pPr>
        <w:ind w:firstLine="640"/>
      </w:pPr>
      <w:r>
        <w:rPr>
          <w:rFonts w:hint="eastAsia"/>
        </w:rPr>
        <w:t>2</w:t>
      </w:r>
      <w:r>
        <w:t>022</w:t>
      </w:r>
      <w:r>
        <w:rPr>
          <w:rFonts w:hint="eastAsia"/>
        </w:rPr>
        <w:t>年经济开区深入实施“四边工作法”，集中精力提升开工率、投产率和达效率，强化要素保障，确保项目签约后尽早开工、开工项目尽早投产、投产项目尽早产生效益，成功举行了2022年全市春季项目集中开工仪式。全年共有88个5000万元以上的项目开工或复工，开工和复工率均达100%。全年成功发行了7个专项债券项目，融资金额达到了152亿元，并已全部支付到位。全年固定资产投资达到113.3亿元，增长了10.27%，在开发区组内排名第一。</w:t>
      </w:r>
      <w:r>
        <w:br w:type="textWrapping"/>
      </w:r>
      <w:r>
        <w:rPr>
          <w:rFonts w:hint="eastAsia"/>
        </w:rPr>
        <w:t xml:space="preserve"> </w:t>
      </w:r>
      <w:r>
        <w:t xml:space="preserve">   </w:t>
      </w:r>
      <w:r>
        <w:rPr>
          <w:rFonts w:hint="eastAsia"/>
        </w:rPr>
        <w:t>经开区以创建国家自主示范区为契机，充分利用大口岸和大平台的联动效应，大力推动综保区加速发展为国际消费集聚区。全年的一线进出口额达到了73.6亿元，增长达到了惊人的319%。成功入选了交通部第四批多式联运创建项目名单，进一步提升了“长满欧”“长珲欧”班列的稳定运行，全年承运货物达到8346标箱，货值19亿元。不断扩大展览展示交易中心知名度和影响力，每日客流超过3000人，已经成为吉林省最大的进口商品集散中心。在打造“光谷”的过程中，120亿元的光电智造城建设顺利进行，光电信息产业园一期已经投入使用，并成功吸引了长光华大等18家光机所项目和5大院士工作站入驻；同时，光电二期和光电三期的主体建设也在紧锣密鼓地进行中。经开区还加紧打造“美谷”，在省药监局的支持下，医疗器械产业创新示范园正在快速建设，其影响力在全省乃至全国不断扩大，已有中科炬鸣、晨裕生物、北洋百川等30多家企业入驻。经开区举办了长春市首届人才节，与国内知名科研院所、大专院校开展合作，浙大校友（长春）产业科技创新中心成功获批为国家级科创中心。全年共有98户企业被认定为高新技术企业，科创广场、综保区双创大厦等创新载体加快建设，孵化了中科稀土、酷恩科技等近百个科创项目，增强了创新活力。</w:t>
      </w:r>
    </w:p>
    <w:p>
      <w:pPr>
        <w:pStyle w:val="11"/>
        <w:ind w:firstLine="643"/>
      </w:pPr>
      <w:bookmarkStart w:id="7" w:name="_Toc138594342"/>
      <w:bookmarkStart w:id="8" w:name="_Toc138256987"/>
      <w:r>
        <w:rPr>
          <w:rFonts w:hint="eastAsia"/>
        </w:rPr>
        <w:t>（三）多措并举、优化城市建设管理</w:t>
      </w:r>
      <w:bookmarkEnd w:id="7"/>
      <w:bookmarkEnd w:id="8"/>
    </w:p>
    <w:p>
      <w:pPr>
        <w:ind w:firstLine="640"/>
      </w:pPr>
      <w:r>
        <w:rPr>
          <w:rFonts w:hint="eastAsia"/>
        </w:rPr>
        <w:t>在城市建设方面，一些重点工程如临河街的改造、北海公园的电力搬迁、北远达地块的供水管道配套等都取得了实质性进展。老旧小区如聚宝富苑、新开河的改造即将结束，兴隆公园的建设正在加快。投入使用了贵州路、南沙大街等四条道路，并完成了长吉北线、南宁大街等138条道路的中小修，进一步增强了基础保障能力。在城市管理方面，全市首个开展“春风行动”专项整治的区，深入实施了城乡秩序百日攻坚、餐饮油烟治理、城管进驻小区等行动，全年累计清理各类垃圾2547吨、野广告4.21万条，妥善处置有害垃圾13.8吨。另一方面全方位综合治理了影响环境的城市露天烧烤、违法建筑、毁绿种菜等问题以及影响秩序的占用泊位、占道经营等问题，全区对城市管理的精细化意识不断增强。城市环境改善方面，经过12年的持续努力，我们成功获批为国家第六批生态文明建设示范区（生态工业园区），为我们的绿色发展和双碳示范城建设打下了坚实的基础。另外兴隆山镇、东方广场街道三道村获得吉林省文明镇村称号，世纪街道兰州社区、临河街道泰山社区被评为省级文明单位。推动征收拆迁进程加速进行。全年成功完成了10个征收拆迁项目，与836户达成了协议，解放出土地面积达到43.5公顷。这一高效的操作保障了地铁7号线、2号线、吉林大路快速路、世纪大街快速路等重大项目的用地需求。全年累计收储提供净地40.6公顷。</w:t>
      </w:r>
    </w:p>
    <w:p>
      <w:pPr>
        <w:pStyle w:val="11"/>
        <w:ind w:firstLine="643"/>
      </w:pPr>
      <w:bookmarkStart w:id="9" w:name="_Toc138594343"/>
      <w:bookmarkStart w:id="10" w:name="_Toc138256988"/>
      <w:r>
        <w:rPr>
          <w:rFonts w:hint="eastAsia"/>
        </w:rPr>
        <w:t>（四）面面俱到、督察整改生态环境</w:t>
      </w:r>
      <w:bookmarkEnd w:id="9"/>
      <w:bookmarkEnd w:id="10"/>
    </w:p>
    <w:p>
      <w:pPr>
        <w:ind w:firstLine="640"/>
      </w:pPr>
      <w:r>
        <w:rPr>
          <w:rFonts w:hint="eastAsia" w:hAnsi="仿宋_GB2312" w:cs="仿宋_GB2312"/>
        </w:rPr>
        <w:t>2</w:t>
      </w:r>
      <w:r>
        <w:rPr>
          <w:rFonts w:hAnsi="仿宋_GB2312" w:cs="仿宋_GB2312"/>
        </w:rPr>
        <w:t>022</w:t>
      </w:r>
      <w:r>
        <w:rPr>
          <w:rFonts w:hint="eastAsia" w:hAnsi="仿宋_GB2312" w:cs="仿宋_GB2312"/>
        </w:rPr>
        <w:t>年，五轮生态环境保护督察共向经开区交办84项整改任务，已完成81项整改任务。五轮环保督察共向经开区交办信访案件682件，已办结销号681件。</w:t>
      </w:r>
      <w:r>
        <w:rPr>
          <w:rFonts w:hAnsi="仿宋_GB2312" w:cs="仿宋_GB2312"/>
        </w:rPr>
        <w:br w:type="textWrapping"/>
      </w:r>
      <w:r>
        <w:rPr>
          <w:rFonts w:hint="eastAsia"/>
        </w:rPr>
        <w:t xml:space="preserve"> </w:t>
      </w:r>
      <w:r>
        <w:t xml:space="preserve">   </w:t>
      </w:r>
      <w:r>
        <w:rPr>
          <w:rFonts w:hint="eastAsia"/>
        </w:rPr>
        <w:t>强化群众环境投诉信访案件办理。长春经济技术开发区根据吉林省环保督察办公室的要求，对第一轮中央环保督察中群众反映的农安县砖厂违法填埋生活垃圾问题进行整改。目标是进一步强化对群众环保投诉的处理。具体措施包括：严格按规定处理信访案件，增强督察力度；落实整改复查复核方案，开展复查复核工作；并定期监察信访案件办理进展，对难解决或敷衍的案件加大督查力度。经开区已发布相关文件以加强督导，完善了定期调度和预警机制。目前，两件信访案件正在推进，其中一件逾期但已有新的整改方案在积极推动中。</w:t>
      </w:r>
    </w:p>
    <w:p>
      <w:pPr>
        <w:ind w:firstLine="640"/>
      </w:pPr>
      <w:r>
        <w:rPr>
          <w:rFonts w:hint="eastAsia"/>
        </w:rPr>
        <w:t>深入打好蓝天保卫战。经开区积极实施秸秆全域禁烧政策以避免空气污染，同时制定“散乱污”企业的动态管理机制以持续巩固整治效果。对挥发性有机物进行集中整治，并强化对重点行业如加油站和储油库的油气污染治理。为了更好地管理机动车辆，经开区进行路检路查和入户监督抽测，严格执行了柴油货车的限行、禁行政策。对于非道路移动机械，开展了全面调查和编码登记，提高了监管效率。裸露地面的整治也在行动计划中，包括绿化、硬化和覆盖，以及通过卫星遥感技术进行的核查和整改。在采暖期，对燃煤锅炉的排放情况进行了严格监管，确保其达标排放。此外，经开区及时更新并执行重污染天气应急预案，委托第三方单位编制更新经开区应急减排清单，助力企业进行自评估和对标。</w:t>
      </w:r>
    </w:p>
    <w:p>
      <w:pPr>
        <w:ind w:firstLine="640"/>
      </w:pPr>
      <w:r>
        <w:rPr>
          <w:rFonts w:hint="eastAsia"/>
        </w:rPr>
        <w:t>深入打好碧水保卫战。长春经开区在碧水保卫战中推行了多项举措。兴隆山污水处理厂一期提升及二期扩建工程已经完成，并于8月通过了环保验收，持续的"驻厂式"监管确保了其设施的正常运行和各项水质的稳定达标。区内对涉水企业严格施行污水排放规定，所有新建企业需严格遵守环保审批程序，对于超标排放行为将予以法律惩处。同时，新的重点涉水排污单位要按要求安装在线监控设施，以便实时监控排水指标并确保达标排放。为推进市控地表水断面水质达标，区内每月对市出入境断面进行"查测溯"水质调查，并对发现的水质问题进行溯源调查和治理，以改善水环境质量。这些措施有效推进了经开区水质的持续改善，并达到了年度考核目标。</w:t>
      </w:r>
    </w:p>
    <w:p>
      <w:pPr>
        <w:ind w:firstLine="640"/>
      </w:pPr>
      <w:r>
        <w:rPr>
          <w:rFonts w:hint="eastAsia"/>
        </w:rPr>
        <w:t>深入打好黑土地保卫战。经开区在黑土地保卫战中实行了多项措施，包括加强土壤重点企业的监管，对8家企业进行土壤污染隐患排查和自行监测，并制定相关制度和报告。同时，通过疑似污染地块调查以及建设用地准入管理，保证了土地的安全利用。并且，对艾仕得涂料系统（长春）有限公司的搬迁过程进行监管，以防止土壤和地下水的污染。为固体废物治理做出努力，包括“无废城市”建设和危险废物专项整治。在另一方面，为落实市委市政府的战略部署，区内推进“双碳”示范城建设，制定了与长春市“双碳”实施方案和工作要点相结合的实施方案。为服务“双碳”建设，经开区生态环境分局牵头组织了专题会议，并在长春市“双碳”示范城的重点“项目库”基础上，将相关项目纳入“双碳”项目库和项目储备库。</w:t>
      </w:r>
    </w:p>
    <w:p>
      <w:pPr>
        <w:tabs>
          <w:tab w:val="left" w:pos="2751"/>
        </w:tabs>
        <w:adjustRightInd w:val="0"/>
        <w:snapToGrid w:val="0"/>
        <w:spacing w:line="360" w:lineRule="auto"/>
        <w:ind w:firstLine="640"/>
        <w:outlineLvl w:val="0"/>
        <w:rPr>
          <w:rFonts w:ascii="黑体" w:hAnsi="黑体" w:eastAsia="黑体"/>
          <w:szCs w:val="32"/>
        </w:rPr>
      </w:pPr>
      <w:bookmarkStart w:id="11" w:name="_Toc138594344"/>
      <w:bookmarkStart w:id="12" w:name="_Toc138256989"/>
      <w:r>
        <w:rPr>
          <w:rFonts w:hint="eastAsia" w:ascii="黑体" w:hAnsi="黑体" w:eastAsia="黑体"/>
          <w:szCs w:val="32"/>
        </w:rPr>
        <w:t>二、取得的成效</w:t>
      </w:r>
      <w:bookmarkEnd w:id="11"/>
      <w:bookmarkEnd w:id="12"/>
    </w:p>
    <w:p>
      <w:pPr>
        <w:pStyle w:val="11"/>
        <w:ind w:firstLine="643"/>
      </w:pPr>
      <w:bookmarkStart w:id="13" w:name="_Toc138594345"/>
      <w:bookmarkStart w:id="14" w:name="_Toc138256990"/>
      <w:r>
        <w:rPr>
          <w:rFonts w:hint="eastAsia"/>
        </w:rPr>
        <w:t>（一）生态保护成果显著</w:t>
      </w:r>
      <w:bookmarkEnd w:id="13"/>
      <w:bookmarkEnd w:id="14"/>
    </w:p>
    <w:p>
      <w:pPr>
        <w:ind w:firstLine="640"/>
        <w:rPr>
          <w:rFonts w:hAnsi="仿宋_GB2312" w:cs="仿宋_GB2312"/>
        </w:rPr>
      </w:pPr>
      <w:r>
        <w:rPr>
          <w:rFonts w:hint="eastAsia"/>
        </w:rPr>
        <w:t>污染防治各项管控措施常态化、制度化，环境污染防治各项任务圆满完成，2</w:t>
      </w:r>
      <w:r>
        <w:t>022</w:t>
      </w:r>
      <w:r>
        <w:rPr>
          <w:rFonts w:hint="eastAsia"/>
        </w:rPr>
        <w:t>年，实现1-12月市控断面月均值水质均能达到年度考核目标要求，水质持续向好。其中C</w:t>
      </w:r>
      <w:r>
        <w:t>OD</w:t>
      </w:r>
      <w:r>
        <w:rPr>
          <w:rFonts w:hint="eastAsia"/>
        </w:rPr>
        <w:t>年排放量</w:t>
      </w:r>
      <w:r>
        <w:t>17.59</w:t>
      </w:r>
      <w:r>
        <w:rPr>
          <w:rFonts w:hint="eastAsia"/>
        </w:rPr>
        <w:t>吨，比去年减少近1</w:t>
      </w:r>
      <w:r>
        <w:t>/3</w:t>
      </w:r>
      <w:r>
        <w:rPr>
          <w:rFonts w:hint="eastAsia"/>
        </w:rPr>
        <w:t>；氨氮年排放量0</w:t>
      </w:r>
      <w:r>
        <w:t>.414</w:t>
      </w:r>
      <w:r>
        <w:rPr>
          <w:rFonts w:hint="eastAsia"/>
        </w:rPr>
        <w:t>吨，是规划基准年以来最低值。裸土遥感监管服务系统核查完成率92%，整改完成率100%，</w:t>
      </w:r>
      <w:r>
        <w:rPr>
          <w:rFonts w:hint="eastAsia" w:hAnsi="仿宋_GB2312" w:cs="仿宋_GB2312"/>
        </w:rPr>
        <w:t>环境空气质量达到年度目标的。</w:t>
      </w:r>
    </w:p>
    <w:p>
      <w:pPr>
        <w:ind w:firstLine="640"/>
      </w:pPr>
      <w:r>
        <w:rPr>
          <w:rFonts w:hint="eastAsia"/>
        </w:rPr>
        <w:t xml:space="preserve">长春经开区在32个可选指标中共选择24项开展生态工业园区建设，2022年指标均符合标准要求，其中人均单位工业增加值56.5万元/人，单位工业用地面积工业增加值13.38亿元/平方千米，工业固体废物综合利用率85.6%，单位工业增加值综合能耗0.25吨标煤/万元，单位工业增加值二氧化碳排放量年均削减率14.8%，单位工业增加值新鲜水耗1.88立方米/万元，单位工业增加值废水排放量0.6吨/万元，单位工业增加值固废产生量0.07吨/万元。 </w:t>
      </w:r>
    </w:p>
    <w:p>
      <w:pPr>
        <w:ind w:firstLine="640"/>
      </w:pPr>
      <w:r>
        <w:rPr>
          <w:rFonts w:hint="eastAsia"/>
        </w:rPr>
        <w:t xml:space="preserve"> </w:t>
      </w:r>
      <w:r>
        <w:t xml:space="preserve">  </w:t>
      </w:r>
      <w:r>
        <w:rPr>
          <w:rFonts w:hint="eastAsia"/>
        </w:rPr>
        <w:t>增强辖区内断面水质管控。长春经开区对第二轮中央环保督察中反馈的水质问题进行整改，具体任务包括解决部分区域水质反弹明显的问题，实现辖区内断面水质的持续改善，以达到市考核目标要求。具体措施包括实施严格的水质管控，加强污染源监管力度，及时发现并处理污染问题，以及开展水质分析工作。经开区已按照实施方案，完成了兴隆山污水处理厂一期提升二期扩建项目，并将继续做好十三家子断面水质提升工作。</w:t>
      </w:r>
    </w:p>
    <w:p>
      <w:pPr>
        <w:ind w:firstLine="640"/>
      </w:pPr>
      <w:r>
        <w:rPr>
          <w:rFonts w:hint="eastAsia"/>
        </w:rPr>
        <w:t>提高监管水平，遏制了破坏自然资源行为。一方面，针对湿地和自然保护区的违法开发问题，区内所有湿地都进行了自查自纠和专项检查，问题清单动态管理机制也已建立。两处湿地——伊通河右岸的河流性湿地完成了防洪和生态景观工程，由伊通河管理委员会负责维护监管。另一方面，针对林地和草原资源破坏的问题，长春经济技术开发区对2017年以来的相关案件进行了全面查处与整改，对群众举报的案件及时核实并进行行政处罚，涉及刑事犯罪的案件则移交给公安机关处理。区内还积极开展了毁林毁草问题的专项排查行动。</w:t>
      </w:r>
    </w:p>
    <w:p>
      <w:pPr>
        <w:ind w:firstLine="640"/>
      </w:pPr>
      <w:r>
        <w:rPr>
          <w:rFonts w:hint="eastAsia"/>
        </w:rPr>
        <w:t>加强大气污染防治，遏制了城中村散煤污染。经开区严格监管小锅炉工作，全区255台20吨以下燃煤锅炉已进行清洁供暖方式的整改；针对煤炭质量进行严格的监管并建立了煤炭加工企业和销售主体的监管台账；加快了清洁煤配送中心的建设，共建了“长春经济技术开发区洁净煤配送中心”；积极开展节能化改造，并引导企业使用电采暖方式供热，已有9个项目建成并成功申请到补助资金；以及积极推进光伏发电项目的建设，已完成7个项目的备案工作，其中一部分已开始建设或投入使用。</w:t>
      </w:r>
      <w:r>
        <w:br w:type="textWrapping"/>
      </w:r>
      <w:r>
        <w:rPr>
          <w:rFonts w:hint="eastAsia"/>
        </w:rPr>
        <w:t xml:space="preserve"> </w:t>
      </w:r>
      <w:r>
        <w:t xml:space="preserve">    </w:t>
      </w:r>
      <w:r>
        <w:rPr>
          <w:rFonts w:hint="eastAsia"/>
        </w:rPr>
        <w:t>完成了黑土地保护和表土剥离整改任务。关于黑土地保护部分措施落实不到位的问题，经开区积极采取行动。增强对习近平总书记关于黑土地保护和视察吉林的重要讲话精神的理解和领会，提升了黑土地保护的认识。在市农业农村局的指导下，经开区于2022年12月底前完成了黑土地保护规划编制，完善了黑土地保护制度体系。涉及到表土剥离制度落实不到位，导致部分地区黑土地遭到压覆、破坏的问题，经开区也制定并实施了相应的整改措施。在履行地方政府的责任制，开展表土剥离工作的同时，经开区根据市规划与自然资源局的要求，对未剥离的表土制定了整改方案，并对各类情况进行分类整改。经与市规自局核实，涉及到的北区丙十三街等道路项目和沈阳大路项目的表土剥离工作已经完成，并已经用于绿化。</w:t>
      </w:r>
    </w:p>
    <w:p>
      <w:pPr>
        <w:pStyle w:val="11"/>
        <w:ind w:firstLine="643"/>
      </w:pPr>
      <w:bookmarkStart w:id="15" w:name="_Toc138594346"/>
      <w:bookmarkStart w:id="16" w:name="_Toc138256991"/>
      <w:r>
        <w:rPr>
          <w:rFonts w:hint="eastAsia"/>
        </w:rPr>
        <w:t>（二）构建高效低碳多式联运物流服务体系</w:t>
      </w:r>
      <w:bookmarkEnd w:id="15"/>
      <w:bookmarkEnd w:id="16"/>
    </w:p>
    <w:p>
      <w:pPr>
        <w:ind w:firstLine="640"/>
      </w:pPr>
      <w:r>
        <w:rPr>
          <w:rFonts w:hint="eastAsia"/>
        </w:rPr>
        <w:t>构建绿色高效低碳多式联运物流服务体系。2</w:t>
      </w:r>
      <w:r>
        <w:t>022</w:t>
      </w:r>
      <w:r>
        <w:rPr>
          <w:rFonts w:hint="eastAsia"/>
        </w:rPr>
        <w:t>年长春国际陆港成功入选第四批多式联运示范工程名单，这一由交通运输部运输服务司公布的项目着力构建陆海空三维一体的智能化联运服务网络。这个项目是由长春国际陆港发展有限公司领导，与多家企业共同合作，基于各参与方的资源优势和服务网络，实现了物流资源的整合，运输组织和通道线路的优化，以及多方的一体化协同运作。这个项目所在的长春兴隆铁路口岸区域，积极响应并实施"一带一路"倡议，构建现代化的开放型国际物流体系。长春国际陆港发展有限公司聚焦于长春国际陆港枢纽，整合各类物流资源，引导高端物流向枢纽集结，推动物流规模化、网络化，同时扩大物流服务链，并将其融入全国和国际物流服务网络，实现了强大的资源聚合和广泛的影响力。多式联运可以有效衔接各种运输方式，实现一体化运作，优化运输组织，提升物流效率。不仅可以推动多式联运的规模化和网络化发展，而且可以促进物流产业的联动融合，支持国内国际“双循环”，建立绿色高效低碳的多式联运物流服务体系，并积极增强长春与周边地区的联系，加快长春从“节点城市”向“枢纽城市”的转变。示范工程通过优化运输方式和提升物流效率来减少碳排放，追求环保和可持续发展的核心理念。此外，该项目通过整合和优化物流资源，充分利用各种运输方式，体现了资源循环利用和合理配置的原则。同时，项目中的多方协同运作和合作精神，强调的企业间协同合作和形成生态工业网络。其所构建的绿色高效低碳的物流服务体系，推动了环保、绿色和低碳产业发展。</w:t>
      </w:r>
    </w:p>
    <w:p>
      <w:pPr>
        <w:pStyle w:val="11"/>
        <w:ind w:firstLine="643"/>
        <w:rPr>
          <w:lang w:val="zh-CN"/>
        </w:rPr>
      </w:pPr>
      <w:bookmarkStart w:id="17" w:name="_Toc138594347"/>
      <w:bookmarkStart w:id="18" w:name="_Toc138256992"/>
      <w:r>
        <w:rPr>
          <w:rFonts w:hint="eastAsia"/>
        </w:rPr>
        <w:t>（三）拓宽渠道招商引资显成效</w:t>
      </w:r>
      <w:bookmarkEnd w:id="17"/>
      <w:bookmarkEnd w:id="18"/>
    </w:p>
    <w:p>
      <w:pPr>
        <w:ind w:firstLine="640"/>
      </w:pPr>
      <w:r>
        <w:rPr>
          <w:rFonts w:hint="eastAsia"/>
        </w:rPr>
        <w:t>经开区不仅坚守自身优势，更立志于推动“科技创新城”和“新兴消费城”的建设。凭借“六个一”策略，一方面转型升级传统产业，另一方面培育并壮大光电信息、医药健康等战略新兴产业。通过拓宽信息渠道和创新招商方式，实现了显著的招商引资效果。在产业链招商方面，专注于汽车零部件、医疗器械、光电信息、跨境电商等重点产业。全力引进能够强化链条、补齐链条、延伸链条的项目，尤其在医疗器械产业的招商势头特别强劲，成功吸引了西安大医集团东北亚区域创新产业基地、天津北洋百川聚谷氨酸产业基地、奥朗特医用敷料及面膜生产基地等重量级项目。鼓励全员招商，全区各部门积极发挥职能，拓宽信息渠道，主动参与招商。通过健全工作机制、完善考核体系，以实际成果为导向，形成了全区抓招商抓项目的浓厚氛围。重视在招商引资的过程中，注重企业的环保责任和绿色发展，引导并要求入驻企业符合生态工业园区的环保、节能、低碳、可持续的发展理念。积极走出去招商，到北京、江苏等地进行“叩门”招商活动。中国医药吉林省总部、慕贝尔汽车零部件、电缆生产制造基地等9个项目已经进展顺利，为经开区高质量发展注入了强大的能量。这些项目的落地，将会进一步提升生态工业园区的产业水平，使产业与环保同步提升，为企业提供更优质的生产环境，也让员工享有更高品质的生活环境，实现经济与环境的双赢。为了进一步扩大招商成果，经开区还计划前往广东、北京等地开展更多的招商活动。</w:t>
      </w:r>
    </w:p>
    <w:p>
      <w:pPr>
        <w:pStyle w:val="11"/>
        <w:ind w:firstLine="643"/>
      </w:pPr>
      <w:bookmarkStart w:id="19" w:name="_Toc138256993"/>
      <w:bookmarkStart w:id="20" w:name="_Toc138594348"/>
      <w:r>
        <w:rPr>
          <w:rFonts w:hint="eastAsia"/>
        </w:rPr>
        <w:t>（四）集聚创新力量，打造科技创新高地</w:t>
      </w:r>
      <w:bookmarkEnd w:id="19"/>
      <w:bookmarkEnd w:id="20"/>
    </w:p>
    <w:p>
      <w:pPr>
        <w:ind w:firstLine="640"/>
      </w:pPr>
      <w:r>
        <w:rPr>
          <w:rFonts w:hint="eastAsia"/>
        </w:rPr>
        <w:t>打造“大平台”，构建创新生态。建立了一系列创新平台来构建创新生态，根据“以点带线、以线扩面、率先成势、集聚发展”的原则，同步打造了投资高达33亿元的“光电信息产业园”，14亿元的“国家半导体激光技术创新中心”，和50亿元的“吉林省医疗器械产业创新示范园”，总占地面积达到65.69万平方米。目前，这些创新园区已进入产业化阶段，并为企业提供全面的产业化研发服务。同时，投入1.2亿元启用了长光所青年双创基地，致力于吸引和培养光电精密仪器与装备领域的青年人才，打造集研发、试制、交流、成果转化为一体的开放实践平台和优秀的青年人才创新创业基地，以推动经开区的科技创新和经济发展。</w:t>
      </w:r>
    </w:p>
    <w:p>
      <w:pPr>
        <w:ind w:firstLine="640"/>
      </w:pPr>
      <w:r>
        <w:rPr>
          <w:rFonts w:hint="eastAsia"/>
        </w:rPr>
        <w:t>整合重大项目，汇集了众多科技创新项目，光电信息产业园一期已吸引长光大器、长光华大等30多家企业入驻，预计未来三年会有200多家国内领先和高增长的光电企业集结。规划并打造全国首个光电信息产业示范街，这个项目将位于光电信息产业核心发展区的"中轴线"，其设计将融入光电元素的雕塑和建筑，并结合美化、绿化和彩化改善，旨在打造一个集科技、文化于一体的热门新地标，促进二、三产业的高效融合。另外，医疗器械产业创新示范园已经成功吸引了西安大医集团新型伽马刀项目、中科炬鸣球囊导管项目、晨裕生物分子诊断项目等20多个优质项目，正在形成产业集群。</w:t>
      </w:r>
    </w:p>
    <w:p>
      <w:pPr>
        <w:ind w:firstLine="640"/>
      </w:pPr>
      <w:r>
        <w:rPr>
          <w:rFonts w:hint="eastAsia"/>
        </w:rPr>
        <w:t>积极培育领先企业以引领创新。借助长光辰芯增长的势头，将其打造成全省甚至整个东北地区的第二个“独角兽”企业，推动其借助资本市场力量发展壮大，吸引更多的光电信息产业企业到经开区。与此同时，积极推进总投资42亿元的长光正圆正照式CMOS项目，并努力在光电三期实施高端光电精密仪器设备的研发和制造项目，以突破国外技术封锁，解决光学领域的关键技术难题，为传感器及芯片制造业开辟新的市场，进一步强化产业基础。</w:t>
      </w:r>
    </w:p>
    <w:p>
      <w:pPr>
        <w:ind w:firstLine="640"/>
      </w:pPr>
      <w:r>
        <w:rPr>
          <w:rFonts w:hint="eastAsia"/>
        </w:rPr>
        <w:t>致力于强化科创力量，聚集创新资源。持续推动创新创业载体的建设，看重科技企业孵化器的发展，坚决用其推动高新技术产业的发展。积极与国内一流的科研院所和大学进行合作，以寻求科技创新的新突破。成功与浙江大学共建的浙大校友（长春）产业科技创新中心，已被批准为“国家级”，打破了建区30年的“零”突破记录。</w:t>
      </w:r>
    </w:p>
    <w:p>
      <w:pPr>
        <w:ind w:firstLine="640"/>
      </w:pPr>
      <w:r>
        <w:rPr>
          <w:rFonts w:hint="eastAsia"/>
        </w:rPr>
        <w:t>专注于提供优质服务，以吸引更多的创业人才。为区内企业举办了2次高新技术企业认定管理政策及研发费用加计扣除政策的在线培训，帮助98家企业在2022年被认定为高新技术企业。在省、市科技部门的指导下，高效组织236家高新企业完成了年报、关键技术问卷调查以及企业诉求调查等工作。积极拜访了区内的科研院所和高校，获取了关于科技成果转化和技术交易情况。</w:t>
      </w:r>
    </w:p>
    <w:p>
      <w:pPr>
        <w:tabs>
          <w:tab w:val="left" w:pos="2751"/>
        </w:tabs>
        <w:adjustRightInd w:val="0"/>
        <w:snapToGrid w:val="0"/>
        <w:spacing w:line="360" w:lineRule="auto"/>
        <w:ind w:firstLine="640"/>
        <w:outlineLvl w:val="0"/>
        <w:rPr>
          <w:rFonts w:ascii="黑体" w:hAnsi="黑体" w:eastAsia="黑体"/>
          <w:szCs w:val="32"/>
        </w:rPr>
      </w:pPr>
      <w:bookmarkStart w:id="21" w:name="_Toc138594349"/>
      <w:bookmarkStart w:id="22" w:name="_Toc138256994"/>
      <w:r>
        <w:rPr>
          <w:rFonts w:hint="eastAsia" w:ascii="黑体" w:hAnsi="黑体" w:eastAsia="黑体"/>
          <w:szCs w:val="32"/>
        </w:rPr>
        <w:t>三、建设中存在的问题和制约因素</w:t>
      </w:r>
      <w:bookmarkEnd w:id="21"/>
      <w:bookmarkEnd w:id="22"/>
    </w:p>
    <w:p>
      <w:pPr>
        <w:pStyle w:val="11"/>
        <w:ind w:firstLine="643"/>
      </w:pPr>
      <w:bookmarkStart w:id="23" w:name="_Toc138594350"/>
      <w:bookmarkStart w:id="24" w:name="_Toc138256995"/>
      <w:r>
        <w:rPr>
          <w:rFonts w:hint="eastAsia"/>
        </w:rPr>
        <w:t>（一）生态链网建设有待进一步强化</w:t>
      </w:r>
      <w:bookmarkEnd w:id="23"/>
      <w:bookmarkEnd w:id="24"/>
    </w:p>
    <w:p>
      <w:pPr>
        <w:ind w:firstLine="640"/>
      </w:pPr>
      <w:r>
        <w:rPr>
          <w:rFonts w:hint="eastAsia"/>
        </w:rPr>
        <w:t>长春经开区在构建生态链网方面已取得了显著的成效。如产业链条的完善，特别是在光电信息和医疗器械产业链的发展上。据统计，目前已有长光大器、长光华大等30多家光电信息企业以及西安大医集团新型伽马刀项目、中科炬鸣球囊导管项目、晨裕生物分子诊断项目等20多个医疗器械项目在经开区成功落户。此外，经开区的科技创新能力也十分强大，如同步打造了投资高达33亿元的“光电信息产业园”，14亿元的“国家半导体激光技术创新中心”，和50亿元的“吉林省医疗器械产业创新示范园”。这些都在推动着经开区生态链网的健康发展。虽然长春经济技术开发区在推动产业升级、优化资源配置、环保政策执行等方面取得了一定的成效，但也存在一些问题和限制。首先，产业之间的协同度有待提高。目前长春经开区的汽车、高科技、生物医药等主导产业发展良好，但是产业之间的协同效应还不足，如汽车产业与高科技产业的融合程度需加强，需要通过调整产业布局，加强产业间的联动，以提高整体效益。其次，创新资源配置效率还需要提高。已经有一系列创新平台和项目在长春经开区落地，但是由于技术转化、人才供需等问题，资源的整合、利用和配置还存在一定的问题，需要通过优化政策和机制，提高创新资源的使用效率。最后，部分企业的环保意识还需要进一步提高，环保监管力度也需要进一步加强，以保障环境的健康发展。</w:t>
      </w:r>
    </w:p>
    <w:p>
      <w:pPr>
        <w:pStyle w:val="11"/>
        <w:ind w:firstLine="643"/>
      </w:pPr>
      <w:bookmarkStart w:id="25" w:name="_Toc138594351"/>
      <w:bookmarkStart w:id="26" w:name="_Toc138256996"/>
      <w:r>
        <w:rPr>
          <w:rFonts w:hint="eastAsia"/>
        </w:rPr>
        <w:t>（二）实现双碳目标面临挑战</w:t>
      </w:r>
      <w:bookmarkEnd w:id="25"/>
      <w:bookmarkEnd w:id="26"/>
    </w:p>
    <w:p>
      <w:pPr>
        <w:ind w:firstLine="640"/>
      </w:pPr>
      <w:r>
        <w:rPr>
          <w:rFonts w:hint="eastAsia"/>
        </w:rPr>
        <w:t>在实现碳达峰目标的过程中，长春经开区面临着能源结构调整的难度和企业碳排放控制能力等问题。长春经开区内有部分企业主要依赖煤炭、石油等传统能源进行生产，这使得能源转型变得具有挑战性。在总能耗中，传统能源占比较高。这种依赖性使得经开区在实施能源结构调整时面临巨大压力。其次，对于企业的碳排放控制能力问题。经开区内的企业中，有些企业在碳排放监测和控制方面存在困难，这包括对碳排放的准确测量和有效控制。这主要是由于一些企业缺乏必要的设备和技术支持，而且对碳排放的认识和理解还不够深入。再者，投资缺乏是碳中和转型过程中的一大难题。实现碳中和需要大规模的资金投入，包括升级生产设备、改进生产流程、引入清洁能源等。据统计，长春经开区内的企业中，部分企业表示面临资金问题，无法承受过高的转型投入，特别是中小企业。总的来说，长春经开区在推进碳达峰目标实施的过程中，面临着能源结构调整难度大、企业碳排放控制能力不足和资金投入问题等挑战。</w:t>
      </w:r>
    </w:p>
    <w:p>
      <w:pPr>
        <w:pStyle w:val="11"/>
        <w:ind w:firstLine="643"/>
        <w:rPr>
          <w:rFonts w:ascii="仿宋_GB2312" w:hAnsi="Times New Roman"/>
          <w:b w:val="0"/>
          <w:bCs w:val="0"/>
        </w:rPr>
      </w:pPr>
      <w:bookmarkStart w:id="27" w:name="_Toc138256997"/>
      <w:bookmarkStart w:id="28" w:name="_Toc138594352"/>
      <w:r>
        <w:rPr>
          <w:rFonts w:hint="eastAsia"/>
        </w:rPr>
        <w:t>（三）减污降碳协同机制</w:t>
      </w:r>
      <w:bookmarkEnd w:id="27"/>
      <w:r>
        <w:rPr>
          <w:rFonts w:hint="eastAsia"/>
        </w:rPr>
        <w:t>有待提升</w:t>
      </w:r>
      <w:bookmarkEnd w:id="28"/>
    </w:p>
    <w:p>
      <w:pPr>
        <w:ind w:firstLine="640"/>
      </w:pPr>
      <w:r>
        <w:rPr>
          <w:rFonts w:hint="eastAsia"/>
        </w:rPr>
        <w:t>实现园区的减污降碳工作需要各企业的共同参与，形成协同效应。当前企业间的合作机制不够完善，或者存在利益分配不均、信息不对称等问题，影响到协同效应的发挥。长春经开区许多企业，尤其是在汽车和高科技产业中，意识到了环保和碳减排的重要性，但由于缺乏明确的合作机制和相应的技术指导，一些企业可能会面临操作难度大、技术不足、资金短缺等问题，限制了企业在减污降碳上的行动力度。同时由于缺乏有效的共享和合作的平台，这些资源和信息无法在更广的范围内得到利用，企业间存在的利益分配不均和信息不对称的问题，也在一定程度上影响了企业的合作意愿和合作效果。</w:t>
      </w:r>
    </w:p>
    <w:p>
      <w:pPr>
        <w:pStyle w:val="11"/>
        <w:ind w:firstLine="643"/>
        <w:rPr>
          <w:rFonts w:ascii="黑体" w:hAnsi="黑体" w:eastAsia="黑体"/>
        </w:rPr>
      </w:pPr>
      <w:bookmarkStart w:id="29" w:name="_Toc138256998"/>
      <w:bookmarkStart w:id="30" w:name="_Toc138594353"/>
      <w:r>
        <w:rPr>
          <w:rFonts w:hint="eastAsia" w:ascii="黑体" w:hAnsi="黑体" w:eastAsia="黑体"/>
        </w:rPr>
        <w:t>四、下一阶段工作计划</w:t>
      </w:r>
      <w:bookmarkEnd w:id="29"/>
      <w:bookmarkEnd w:id="30"/>
    </w:p>
    <w:p>
      <w:pPr>
        <w:pStyle w:val="11"/>
        <w:ind w:firstLine="643"/>
      </w:pPr>
      <w:bookmarkStart w:id="31" w:name="_Toc138594354"/>
      <w:bookmarkStart w:id="32" w:name="_Toc138256999"/>
      <w:r>
        <w:rPr>
          <w:rFonts w:hint="eastAsia"/>
        </w:rPr>
        <w:t>（一）加强</w:t>
      </w:r>
      <w:r>
        <w:rPr>
          <w:rFonts w:hint="eastAsia"/>
          <w:color w:val="333333"/>
          <w:spacing w:val="15"/>
          <w:shd w:val="clear" w:color="auto" w:fill="FFFFFF"/>
        </w:rPr>
        <w:t>城市建设管理</w:t>
      </w:r>
      <w:bookmarkEnd w:id="31"/>
      <w:bookmarkEnd w:id="32"/>
    </w:p>
    <w:p>
      <w:pPr>
        <w:ind w:firstLine="640"/>
      </w:pPr>
      <w:r>
        <w:rPr>
          <w:rFonts w:hint="eastAsia"/>
        </w:rPr>
        <w:t>长春经开区致力于打造一个宜居宜业的新城区，抓住城市更新的机遇，优化管理模式，通过落地工程项目，致力于优化城市功能，提升生活环境品质，让广大市民尽享城市发展红利。规划上，坚持高标准、大力度，针对南部地区逐个地块进行深入规划，将低效地块、废弃企业转型为商业和地产项目，通过拆旧立新、提升土地价值的方式，实现城市功能的优化和土地收益的提高。在城市建设方面，注重高效推进。基础公共设施建设项目、小区和企事业单位雨污水分流改造、街路雨污水管线改造小区供水内网改造和二次供水泵站改造将全力推进，以及天华苑、凯撒花园二期、医高专家属楼等房屋提升改造工程都将在实施推进，以提升城市承载能力。在城市管理方面，将坚持高水平、细化管理，通过市容秩序整治和环境卫生管理，完善管理机制，实行网格化管理，建立绩效考核机制，以实现更精准、长效的城市管理。以创建文明城市为目标，对占道经营、露天烧烤、私搭乱建等问题进行整治，加强清洁行动，提升环卫水平，并严禁农用地违规建设，一经发现，执法机构将立即进行处罚。在征收任务上，坚持高质量、全面完成。轨道交通7号线、世纪大街快速路等项目的征收将全面完成，东南湖大路、烟长高速、地铁2号线等重点项目也将按期完成。将全力解决所有遗留项目，彻底解决“钉子户”问题，保障被拆迁群众的利益。在环保方面，将以高要求、持续推动，扛起绿色发展的政治责任，督查环保问题整改，实施河长制，保持禁烧成果，帮助污水处理厂和重点企业达到超低排放标准，加快雨污合流管网改造，解决影响百姓。</w:t>
      </w:r>
    </w:p>
    <w:p>
      <w:pPr>
        <w:pStyle w:val="11"/>
        <w:ind w:firstLine="643"/>
      </w:pPr>
      <w:bookmarkStart w:id="33" w:name="_Toc138594355"/>
      <w:bookmarkStart w:id="34" w:name="_Toc138257000"/>
      <w:r>
        <w:rPr>
          <w:rFonts w:hint="eastAsia"/>
        </w:rPr>
        <w:t>（二）优化产业空间结构布局</w:t>
      </w:r>
      <w:bookmarkEnd w:id="33"/>
      <w:bookmarkEnd w:id="34"/>
    </w:p>
    <w:p>
      <w:pPr>
        <w:ind w:firstLine="640"/>
      </w:pPr>
      <w:r>
        <w:rPr>
          <w:rFonts w:hint="eastAsia"/>
        </w:rPr>
        <w:t>长春经开区需要进一步优化产业布局，提高产业间的协同效应，优化创新资源配置，加强环保监管，以实现其生态链网的健康、持续发展。在优化空间规划的过程中，对现有的空间使用状况进行深入的分析和评估。产业用地是经开区最主要的用地类型，这也是经开区经济发展的基础。然而，目前一些产业用地的使用效率并不高，存在一些闲置和浪费的现象。对此，经开区计划通过提高土地使用效率，合理安排产业布局，实现土地资源的集约利用。优先考虑将高污染、高能耗的企业搬迁到更适合的地方，让更环保、更高效的企业使用这些地块。通过优化公共服务设施的布局，提高服务设施的覆盖率和可达性，满足园区内居民和企业的需求。同时，商业用地的合理布局可以带动园区的商业发展，提高园区的经济活力。绿地和水域的规划是园区生态环境建设的重要部分，继续增加绿化面积，创建舒适的生态环境。重视水域的生态保护，保障水资源的可持续利用。通过空间规划优化，期望在保障经济发展的同时，也能实现环保和节约用地的目标，为建设生态文明先锋区提供坚实的基础。</w:t>
      </w:r>
      <w:bookmarkStart w:id="35" w:name="_Toc137650674"/>
    </w:p>
    <w:p>
      <w:pPr>
        <w:pStyle w:val="11"/>
        <w:ind w:firstLine="643"/>
        <w:rPr>
          <w:color w:val="333333"/>
          <w:spacing w:val="15"/>
          <w:shd w:val="clear" w:color="auto" w:fill="FFFFFF"/>
        </w:rPr>
      </w:pPr>
      <w:bookmarkStart w:id="36" w:name="_Toc138257001"/>
      <w:bookmarkStart w:id="37" w:name="_Toc138594356"/>
      <w:r>
        <w:rPr>
          <w:rFonts w:hint="eastAsia"/>
        </w:rPr>
        <w:t>（三）巩固</w:t>
      </w:r>
      <w:r>
        <w:rPr>
          <w:rFonts w:hint="eastAsia"/>
          <w:color w:val="333333"/>
          <w:spacing w:val="15"/>
          <w:shd w:val="clear" w:color="auto" w:fill="FFFFFF"/>
        </w:rPr>
        <w:t>创建东北特色的生态工业示范园</w:t>
      </w:r>
      <w:bookmarkEnd w:id="36"/>
      <w:bookmarkEnd w:id="37"/>
    </w:p>
    <w:p>
      <w:pPr>
        <w:ind w:firstLine="640"/>
        <w:sectPr>
          <w:pgSz w:w="11906" w:h="16838"/>
          <w:pgMar w:top="1701" w:right="1531" w:bottom="1701" w:left="1531" w:header="851" w:footer="1077" w:gutter="0"/>
          <w:pgNumType w:start="1"/>
          <w:cols w:space="720" w:num="1"/>
          <w:docGrid w:type="lines" w:linePitch="312" w:charSpace="0"/>
        </w:sectPr>
      </w:pPr>
      <w:r>
        <w:rPr>
          <w:rFonts w:hint="eastAsia"/>
        </w:rPr>
        <w:t>长春经济技术开发区国家生态工业示范园区致力于走绿色发展道路，落实生态文明建设和新型工业化战略，提升绿色增长和节能减排能力。长春地处温带，丰富的清洁能源和低碳能源为发展清洁能源和新能源汽车产业提供了优势。将继续优化园区空间布局，推行集约化用地，严格执行环保标准，实施严格的环保监管制度，科学评估并有效管控环保风险。通过实施绿色建筑和绿色运输，推动节能减排，改善环境质量，提高生态效益和经济效益。计划打造长吉图产业升级先行区，以创新和绿色发展为驱动，培育战略性新兴产业和推动产业及科技创新。构建东北亚开放合作示范区，以兴隆综保区的发展为重点，创新保税业务模式，构建立体大通道，打造“一带一路”东北地区向北开放的桥头堡。推动长东北产城融合引领区的发展，加强区域的统筹联动，提升城市功能，建设一座承西启东、价值崛起的现代化国际化新城区。长春经开区鼓励产业创新和科技创新，培育战略性新兴产业，构建区域内的新增长点；吸引外部投资，推动区域内的经济发展；并且通过产业发展和城市建设的有机融合，创造富有活力的城市生态环境。长春经开区将继续为区域经济的发展注入了新的活力和动力，为长春乃至整个东北地区的可持续发展和生态保护贡献力量，创建具有东北特色的生态工业示范园。</w:t>
      </w:r>
    </w:p>
    <w:p>
      <w:pPr>
        <w:pStyle w:val="11"/>
        <w:ind w:firstLine="0" w:firstLineChars="0"/>
        <w:rPr>
          <w:rFonts w:ascii="黑体" w:hAnsi="黑体" w:eastAsia="黑体"/>
        </w:rPr>
      </w:pPr>
      <w:bookmarkStart w:id="38" w:name="_Toc138594357"/>
      <w:bookmarkStart w:id="39" w:name="_Toc138257002"/>
      <w:r>
        <w:rPr>
          <w:rFonts w:hint="eastAsia" w:ascii="黑体" w:hAnsi="黑体" w:eastAsia="黑体"/>
        </w:rPr>
        <w:t>五、对照考核表</w:t>
      </w:r>
      <w:bookmarkEnd w:id="35"/>
      <w:bookmarkEnd w:id="38"/>
      <w:bookmarkEnd w:id="39"/>
    </w:p>
    <w:p>
      <w:pPr>
        <w:pStyle w:val="25"/>
        <w:widowControl w:val="0"/>
        <w:autoSpaceDN w:val="0"/>
        <w:adjustRightInd w:val="0"/>
        <w:snapToGrid w:val="0"/>
        <w:ind w:firstLine="560"/>
        <w:rPr>
          <w:rFonts w:ascii="仿宋_GB2312"/>
          <w:kern w:val="2"/>
          <w:szCs w:val="32"/>
        </w:rPr>
      </w:pPr>
      <w:r>
        <w:rPr>
          <w:rFonts w:hint="eastAsia" w:ascii="仿宋_GB2312"/>
          <w:kern w:val="2"/>
          <w:sz w:val="28"/>
          <w:szCs w:val="32"/>
        </w:rPr>
        <w:t>表内指标数据需全部填报，选择为考核指标的将考核其达标情况。</w:t>
      </w:r>
    </w:p>
    <w:tbl>
      <w:tblPr>
        <w:tblStyle w:val="14"/>
        <w:tblpPr w:leftFromText="180" w:rightFromText="180" w:vertAnchor="text" w:tblpXSpec="center" w:tblpY="1"/>
        <w:tblOverlap w:val="never"/>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81"/>
        <w:gridCol w:w="778"/>
        <w:gridCol w:w="2628"/>
        <w:gridCol w:w="916"/>
        <w:gridCol w:w="1417"/>
        <w:gridCol w:w="1134"/>
        <w:gridCol w:w="117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5" w:hRule="atLeast"/>
          <w:tblHeader/>
        </w:trPr>
        <w:tc>
          <w:tcPr>
            <w:tcW w:w="8833" w:type="dxa"/>
            <w:gridSpan w:val="7"/>
            <w:vAlign w:val="center"/>
          </w:tcPr>
          <w:p>
            <w:pPr>
              <w:pStyle w:val="36"/>
              <w:rPr>
                <w:b/>
                <w:bCs/>
              </w:rPr>
            </w:pPr>
            <w:r>
              <w:rPr>
                <w:rFonts w:hint="eastAsia"/>
                <w:b/>
                <w:bCs/>
              </w:rPr>
              <w:t>生态文明建设示范区（生态工业园区）对照考核表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5" w:hRule="atLeast"/>
          <w:tblHeader/>
        </w:trPr>
        <w:tc>
          <w:tcPr>
            <w:tcW w:w="4187" w:type="dxa"/>
            <w:gridSpan w:val="3"/>
            <w:vAlign w:val="center"/>
          </w:tcPr>
          <w:p>
            <w:pPr>
              <w:pStyle w:val="36"/>
              <w:rPr>
                <w:b/>
                <w:bCs/>
              </w:rPr>
            </w:pPr>
            <w:r>
              <w:rPr>
                <w:rFonts w:hint="eastAsia"/>
                <w:b/>
                <w:bCs/>
              </w:rPr>
              <w:t>园区名称：长春经济技术开发区</w:t>
            </w:r>
          </w:p>
        </w:tc>
        <w:tc>
          <w:tcPr>
            <w:tcW w:w="4646" w:type="dxa"/>
            <w:gridSpan w:val="4"/>
            <w:vAlign w:val="center"/>
          </w:tcPr>
          <w:p>
            <w:pPr>
              <w:pStyle w:val="36"/>
              <w:rPr>
                <w:b/>
                <w:bCs/>
                <w:highlight w:val="yellow"/>
              </w:rPr>
            </w:pPr>
            <w:r>
              <w:rPr>
                <w:rFonts w:hint="eastAsia"/>
                <w:b/>
                <w:bCs/>
              </w:rPr>
              <w:t xml:space="preserve">填报时间：     </w:t>
            </w:r>
            <w:r>
              <w:rPr>
                <w:b/>
                <w:bCs/>
              </w:rPr>
              <w:t>2023</w:t>
            </w:r>
            <w:r>
              <w:rPr>
                <w:rFonts w:hint="eastAsia"/>
                <w:b/>
                <w:bCs/>
              </w:rPr>
              <w:t xml:space="preserve">   年  </w:t>
            </w:r>
            <w:r>
              <w:rPr>
                <w:b/>
                <w:bCs/>
              </w:rPr>
              <w:t>6</w:t>
            </w:r>
            <w:r>
              <w:rPr>
                <w:rFonts w:hint="eastAsia"/>
                <w:b/>
                <w:bCs/>
              </w:rPr>
              <w:t xml:space="preserve">  月  </w:t>
            </w:r>
            <w:r>
              <w:rPr>
                <w:b/>
                <w:bCs/>
              </w:rPr>
              <w:t>25</w:t>
            </w:r>
            <w:r>
              <w:rPr>
                <w:rFonts w:hint="eastAsia"/>
                <w:b/>
                <w:bCs/>
              </w:rPr>
              <w:t xml:space="preserve">  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5" w:hRule="atLeast"/>
          <w:tblHeader/>
        </w:trPr>
        <w:tc>
          <w:tcPr>
            <w:tcW w:w="8833" w:type="dxa"/>
            <w:gridSpan w:val="7"/>
            <w:vAlign w:val="center"/>
          </w:tcPr>
          <w:p>
            <w:pPr>
              <w:pStyle w:val="36"/>
            </w:pPr>
            <w:r>
              <w:rPr>
                <w:rFonts w:hint="eastAsia"/>
                <w:b/>
                <w:bCs/>
              </w:rPr>
              <w:t xml:space="preserve">考核指标 </w:t>
            </w:r>
            <w:r>
              <w:rPr>
                <w:rFonts w:hint="eastAsia"/>
              </w:rPr>
              <w:t xml:space="preserve">                   </w:t>
            </w:r>
            <w:r>
              <w:rPr>
                <w:rFonts w:hint="eastAsia"/>
                <w:b/>
                <w:bCs/>
              </w:rPr>
              <w:t>数据基准年为20</w:t>
            </w:r>
            <w:r>
              <w:rPr>
                <w:b/>
                <w:bCs/>
              </w:rPr>
              <w:t>22</w:t>
            </w:r>
            <w:r>
              <w:rPr>
                <w:rFonts w:hint="eastAsia"/>
                <w:b/>
                <w:bCs/>
              </w:rPr>
              <w:t>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34" w:hRule="atLeast"/>
          <w:tblHeader/>
        </w:trPr>
        <w:tc>
          <w:tcPr>
            <w:tcW w:w="781" w:type="dxa"/>
            <w:vAlign w:val="center"/>
          </w:tcPr>
          <w:p>
            <w:pPr>
              <w:pStyle w:val="36"/>
              <w:rPr>
                <w:b/>
                <w:bCs/>
              </w:rPr>
            </w:pPr>
            <w:r>
              <w:rPr>
                <w:rFonts w:hint="eastAsia"/>
                <w:b/>
                <w:bCs/>
              </w:rPr>
              <w:t>分类</w:t>
            </w:r>
          </w:p>
        </w:tc>
        <w:tc>
          <w:tcPr>
            <w:tcW w:w="778" w:type="dxa"/>
            <w:vAlign w:val="center"/>
          </w:tcPr>
          <w:p>
            <w:pPr>
              <w:pStyle w:val="36"/>
              <w:rPr>
                <w:b/>
                <w:bCs/>
              </w:rPr>
            </w:pPr>
            <w:r>
              <w:rPr>
                <w:rFonts w:hint="eastAsia"/>
                <w:b/>
                <w:bCs/>
              </w:rPr>
              <w:t>序号</w:t>
            </w:r>
          </w:p>
        </w:tc>
        <w:tc>
          <w:tcPr>
            <w:tcW w:w="2628" w:type="dxa"/>
            <w:vAlign w:val="center"/>
          </w:tcPr>
          <w:p>
            <w:pPr>
              <w:pStyle w:val="36"/>
              <w:rPr>
                <w:b/>
                <w:bCs/>
              </w:rPr>
            </w:pPr>
            <w:r>
              <w:rPr>
                <w:rFonts w:hint="eastAsia"/>
                <w:b/>
                <w:bCs/>
              </w:rPr>
              <w:t>指标</w:t>
            </w:r>
          </w:p>
        </w:tc>
        <w:tc>
          <w:tcPr>
            <w:tcW w:w="916" w:type="dxa"/>
            <w:vAlign w:val="center"/>
          </w:tcPr>
          <w:p>
            <w:pPr>
              <w:pStyle w:val="36"/>
              <w:rPr>
                <w:b/>
                <w:bCs/>
              </w:rPr>
            </w:pPr>
            <w:r>
              <w:rPr>
                <w:rFonts w:hint="eastAsia"/>
                <w:b/>
                <w:bCs/>
              </w:rPr>
              <w:t>单位</w:t>
            </w:r>
          </w:p>
        </w:tc>
        <w:tc>
          <w:tcPr>
            <w:tcW w:w="1417" w:type="dxa"/>
            <w:vAlign w:val="center"/>
          </w:tcPr>
          <w:p>
            <w:pPr>
              <w:pStyle w:val="36"/>
              <w:rPr>
                <w:b/>
                <w:bCs/>
              </w:rPr>
            </w:pPr>
            <w:r>
              <w:rPr>
                <w:rFonts w:hint="eastAsia"/>
                <w:b/>
                <w:bCs/>
              </w:rPr>
              <w:t>要　　求</w:t>
            </w:r>
          </w:p>
        </w:tc>
        <w:tc>
          <w:tcPr>
            <w:tcW w:w="1134" w:type="dxa"/>
            <w:vAlign w:val="center"/>
          </w:tcPr>
          <w:p>
            <w:pPr>
              <w:pStyle w:val="36"/>
              <w:rPr>
                <w:b/>
                <w:bCs/>
              </w:rPr>
            </w:pPr>
            <w:r>
              <w:rPr>
                <w:rFonts w:hint="eastAsia"/>
                <w:b/>
                <w:bCs/>
              </w:rPr>
              <w:t>是否选为</w:t>
            </w:r>
          </w:p>
          <w:p>
            <w:pPr>
              <w:pStyle w:val="36"/>
              <w:rPr>
                <w:b/>
                <w:bCs/>
              </w:rPr>
            </w:pPr>
            <w:r>
              <w:rPr>
                <w:rFonts w:hint="eastAsia"/>
                <w:b/>
                <w:bCs/>
              </w:rPr>
              <w:t>考核指标</w:t>
            </w:r>
          </w:p>
        </w:tc>
        <w:tc>
          <w:tcPr>
            <w:tcW w:w="1179" w:type="dxa"/>
            <w:vAlign w:val="center"/>
          </w:tcPr>
          <w:p>
            <w:pPr>
              <w:pStyle w:val="36"/>
              <w:rPr>
                <w:b/>
                <w:bCs/>
              </w:rPr>
            </w:pPr>
            <w:r>
              <w:rPr>
                <w:rFonts w:hint="eastAsia"/>
                <w:b/>
                <w:bCs/>
              </w:rPr>
              <w:t>数值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81" w:type="dxa"/>
            <w:vMerge w:val="restart"/>
            <w:vAlign w:val="center"/>
          </w:tcPr>
          <w:p>
            <w:pPr>
              <w:pStyle w:val="36"/>
            </w:pPr>
            <w:r>
              <w:rPr>
                <w:rFonts w:hint="eastAsia"/>
              </w:rPr>
              <w:t>经济发展</w:t>
            </w:r>
          </w:p>
        </w:tc>
        <w:tc>
          <w:tcPr>
            <w:tcW w:w="778" w:type="dxa"/>
            <w:vMerge w:val="restart"/>
            <w:vAlign w:val="center"/>
          </w:tcPr>
          <w:p>
            <w:pPr>
              <w:pStyle w:val="36"/>
            </w:pPr>
            <w:r>
              <w:rPr>
                <w:rFonts w:hint="eastAsia"/>
              </w:rPr>
              <w:t>1</w:t>
            </w:r>
          </w:p>
        </w:tc>
        <w:tc>
          <w:tcPr>
            <w:tcW w:w="2628" w:type="dxa"/>
            <w:vAlign w:val="center"/>
          </w:tcPr>
          <w:p>
            <w:pPr>
              <w:pStyle w:val="36"/>
            </w:pPr>
            <w:r>
              <w:rPr>
                <w:rFonts w:hint="eastAsia"/>
              </w:rPr>
              <w:t>高新技术企业工业总产值</w:t>
            </w:r>
          </w:p>
        </w:tc>
        <w:tc>
          <w:tcPr>
            <w:tcW w:w="916" w:type="dxa"/>
            <w:vAlign w:val="center"/>
          </w:tcPr>
          <w:p>
            <w:pPr>
              <w:pStyle w:val="36"/>
            </w:pPr>
            <w:r>
              <w:rPr>
                <w:rFonts w:hint="eastAsia"/>
              </w:rPr>
              <w:t>万元</w:t>
            </w:r>
          </w:p>
        </w:tc>
        <w:tc>
          <w:tcPr>
            <w:tcW w:w="1417" w:type="dxa"/>
            <w:vAlign w:val="center"/>
          </w:tcPr>
          <w:p>
            <w:pPr>
              <w:pStyle w:val="36"/>
            </w:pPr>
            <w:r>
              <w:rPr>
                <w:rFonts w:hint="eastAsia"/>
              </w:rPr>
              <w:t>-</w:t>
            </w:r>
          </w:p>
        </w:tc>
        <w:tc>
          <w:tcPr>
            <w:tcW w:w="1134" w:type="dxa"/>
            <w:vAlign w:val="center"/>
          </w:tcPr>
          <w:p>
            <w:pPr>
              <w:pStyle w:val="36"/>
            </w:pPr>
            <w:r>
              <w:rPr>
                <w:rFonts w:hint="eastAsia"/>
              </w:rPr>
              <w:t>-</w:t>
            </w:r>
          </w:p>
        </w:tc>
        <w:tc>
          <w:tcPr>
            <w:tcW w:w="1179" w:type="dxa"/>
            <w:vAlign w:val="center"/>
          </w:tcPr>
          <w:p>
            <w:pPr>
              <w:pStyle w:val="36"/>
            </w:pPr>
            <w:r>
              <w:rPr>
                <w:rFonts w:hint="eastAsia"/>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81" w:type="dxa"/>
            <w:vMerge w:val="continue"/>
            <w:vAlign w:val="center"/>
          </w:tcPr>
          <w:p>
            <w:pPr>
              <w:pStyle w:val="36"/>
            </w:pPr>
          </w:p>
        </w:tc>
        <w:tc>
          <w:tcPr>
            <w:tcW w:w="778" w:type="dxa"/>
            <w:vMerge w:val="continue"/>
            <w:vAlign w:val="center"/>
          </w:tcPr>
          <w:p>
            <w:pPr>
              <w:pStyle w:val="36"/>
            </w:pPr>
          </w:p>
        </w:tc>
        <w:tc>
          <w:tcPr>
            <w:tcW w:w="2628" w:type="dxa"/>
            <w:vAlign w:val="center"/>
          </w:tcPr>
          <w:p>
            <w:pPr>
              <w:pStyle w:val="36"/>
            </w:pPr>
            <w:r>
              <w:rPr>
                <w:rFonts w:hint="eastAsia"/>
              </w:rPr>
              <w:t>园区工业总产值</w:t>
            </w:r>
          </w:p>
        </w:tc>
        <w:tc>
          <w:tcPr>
            <w:tcW w:w="916" w:type="dxa"/>
            <w:vAlign w:val="center"/>
          </w:tcPr>
          <w:p>
            <w:pPr>
              <w:pStyle w:val="36"/>
            </w:pPr>
            <w:r>
              <w:rPr>
                <w:rFonts w:hint="eastAsia"/>
              </w:rPr>
              <w:t>万元</w:t>
            </w:r>
          </w:p>
        </w:tc>
        <w:tc>
          <w:tcPr>
            <w:tcW w:w="1417" w:type="dxa"/>
            <w:vAlign w:val="center"/>
          </w:tcPr>
          <w:p>
            <w:pPr>
              <w:pStyle w:val="36"/>
            </w:pPr>
            <w:r>
              <w:rPr>
                <w:rFonts w:hint="eastAsia"/>
              </w:rPr>
              <w:t>-</w:t>
            </w:r>
          </w:p>
        </w:tc>
        <w:tc>
          <w:tcPr>
            <w:tcW w:w="1134" w:type="dxa"/>
            <w:vAlign w:val="center"/>
          </w:tcPr>
          <w:p>
            <w:pPr>
              <w:pStyle w:val="36"/>
            </w:pPr>
            <w:r>
              <w:rPr>
                <w:rFonts w:hint="eastAsia"/>
              </w:rPr>
              <w:t>-</w:t>
            </w:r>
          </w:p>
        </w:tc>
        <w:tc>
          <w:tcPr>
            <w:tcW w:w="1179" w:type="dxa"/>
            <w:vAlign w:val="center"/>
          </w:tcPr>
          <w:p>
            <w:pPr>
              <w:pStyle w:val="36"/>
            </w:pPr>
            <w:r>
              <w:rPr>
                <w:rFonts w:hint="eastAsia"/>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81" w:type="dxa"/>
            <w:vMerge w:val="continue"/>
            <w:vAlign w:val="center"/>
          </w:tcPr>
          <w:p>
            <w:pPr>
              <w:pStyle w:val="36"/>
            </w:pPr>
          </w:p>
        </w:tc>
        <w:tc>
          <w:tcPr>
            <w:tcW w:w="778" w:type="dxa"/>
            <w:vMerge w:val="continue"/>
            <w:vAlign w:val="center"/>
          </w:tcPr>
          <w:p>
            <w:pPr>
              <w:pStyle w:val="36"/>
            </w:pPr>
          </w:p>
        </w:tc>
        <w:tc>
          <w:tcPr>
            <w:tcW w:w="2628" w:type="dxa"/>
            <w:vAlign w:val="center"/>
          </w:tcPr>
          <w:p>
            <w:pPr>
              <w:pStyle w:val="36"/>
            </w:pPr>
            <w:r>
              <w:rPr>
                <w:rFonts w:hint="eastAsia"/>
              </w:rPr>
              <w:t>高新技术企业工业总产值占园区工业总产值比例</w:t>
            </w:r>
          </w:p>
        </w:tc>
        <w:tc>
          <w:tcPr>
            <w:tcW w:w="916" w:type="dxa"/>
            <w:vAlign w:val="center"/>
          </w:tcPr>
          <w:p>
            <w:pPr>
              <w:pStyle w:val="36"/>
            </w:pPr>
            <w:r>
              <w:rPr>
                <w:rFonts w:hint="eastAsia"/>
              </w:rPr>
              <w:t>%</w:t>
            </w:r>
          </w:p>
        </w:tc>
        <w:tc>
          <w:tcPr>
            <w:tcW w:w="1417" w:type="dxa"/>
            <w:vAlign w:val="center"/>
          </w:tcPr>
          <w:p>
            <w:pPr>
              <w:pStyle w:val="36"/>
            </w:pPr>
            <w:r>
              <w:rPr>
                <w:rFonts w:hint="eastAsia"/>
              </w:rPr>
              <w:t xml:space="preserve">≥30 </w:t>
            </w:r>
          </w:p>
        </w:tc>
        <w:tc>
          <w:tcPr>
            <w:tcW w:w="1134" w:type="dxa"/>
            <w:vAlign w:val="center"/>
          </w:tcPr>
          <w:p>
            <w:pPr>
              <w:pStyle w:val="36"/>
            </w:pPr>
            <w:r>
              <w:rPr>
                <w:rFonts w:hint="eastAsia"/>
              </w:rPr>
              <w:t>否</w:t>
            </w:r>
          </w:p>
        </w:tc>
        <w:tc>
          <w:tcPr>
            <w:tcW w:w="1179" w:type="dxa"/>
            <w:vAlign w:val="center"/>
          </w:tcPr>
          <w:p>
            <w:pPr>
              <w:pStyle w:val="36"/>
            </w:pPr>
            <w:r>
              <w:rPr>
                <w:rFonts w:hint="eastAsia"/>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81" w:type="dxa"/>
            <w:vMerge w:val="continue"/>
            <w:vAlign w:val="center"/>
          </w:tcPr>
          <w:p>
            <w:pPr>
              <w:pStyle w:val="36"/>
            </w:pPr>
          </w:p>
        </w:tc>
        <w:tc>
          <w:tcPr>
            <w:tcW w:w="778" w:type="dxa"/>
            <w:vMerge w:val="restart"/>
            <w:vAlign w:val="center"/>
          </w:tcPr>
          <w:p>
            <w:pPr>
              <w:pStyle w:val="36"/>
            </w:pPr>
            <w:r>
              <w:rPr>
                <w:rFonts w:hint="eastAsia"/>
              </w:rPr>
              <w:t>2</w:t>
            </w:r>
          </w:p>
        </w:tc>
        <w:tc>
          <w:tcPr>
            <w:tcW w:w="2628" w:type="dxa"/>
            <w:vAlign w:val="center"/>
          </w:tcPr>
          <w:p>
            <w:pPr>
              <w:pStyle w:val="36"/>
            </w:pPr>
            <w:r>
              <w:rPr>
                <w:rFonts w:hint="eastAsia"/>
              </w:rPr>
              <w:t>年末从业人口</w:t>
            </w:r>
          </w:p>
        </w:tc>
        <w:tc>
          <w:tcPr>
            <w:tcW w:w="916" w:type="dxa"/>
            <w:vAlign w:val="center"/>
          </w:tcPr>
          <w:p>
            <w:pPr>
              <w:pStyle w:val="36"/>
            </w:pPr>
            <w:r>
              <w:rPr>
                <w:rFonts w:hint="eastAsia"/>
              </w:rPr>
              <w:t>人</w:t>
            </w:r>
          </w:p>
        </w:tc>
        <w:tc>
          <w:tcPr>
            <w:tcW w:w="1417" w:type="dxa"/>
            <w:vAlign w:val="center"/>
          </w:tcPr>
          <w:p>
            <w:pPr>
              <w:pStyle w:val="36"/>
            </w:pPr>
            <w:r>
              <w:rPr>
                <w:rFonts w:hint="eastAsia"/>
              </w:rPr>
              <w:t>-</w:t>
            </w:r>
          </w:p>
        </w:tc>
        <w:tc>
          <w:tcPr>
            <w:tcW w:w="1134" w:type="dxa"/>
            <w:vAlign w:val="center"/>
          </w:tcPr>
          <w:p>
            <w:pPr>
              <w:pStyle w:val="36"/>
            </w:pPr>
            <w:r>
              <w:rPr>
                <w:rFonts w:hint="eastAsia"/>
              </w:rPr>
              <w:t>-</w:t>
            </w:r>
          </w:p>
        </w:tc>
        <w:tc>
          <w:tcPr>
            <w:tcW w:w="1179" w:type="dxa"/>
            <w:vAlign w:val="center"/>
          </w:tcPr>
          <w:p>
            <w:pPr>
              <w:pStyle w:val="36"/>
            </w:pPr>
            <w:r>
              <w:t>45928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81" w:type="dxa"/>
            <w:vMerge w:val="continue"/>
            <w:vAlign w:val="center"/>
          </w:tcPr>
          <w:p>
            <w:pPr>
              <w:pStyle w:val="36"/>
            </w:pPr>
          </w:p>
        </w:tc>
        <w:tc>
          <w:tcPr>
            <w:tcW w:w="778" w:type="dxa"/>
            <w:vMerge w:val="continue"/>
            <w:vAlign w:val="center"/>
          </w:tcPr>
          <w:p>
            <w:pPr>
              <w:pStyle w:val="36"/>
            </w:pPr>
          </w:p>
        </w:tc>
        <w:tc>
          <w:tcPr>
            <w:tcW w:w="2628" w:type="dxa"/>
            <w:vAlign w:val="center"/>
          </w:tcPr>
          <w:p>
            <w:pPr>
              <w:pStyle w:val="36"/>
            </w:pPr>
            <w:r>
              <w:rPr>
                <w:rFonts w:hint="eastAsia"/>
              </w:rPr>
              <w:t>工业增加值</w:t>
            </w:r>
          </w:p>
        </w:tc>
        <w:tc>
          <w:tcPr>
            <w:tcW w:w="916" w:type="dxa"/>
            <w:vAlign w:val="center"/>
          </w:tcPr>
          <w:p>
            <w:pPr>
              <w:pStyle w:val="36"/>
            </w:pPr>
            <w:r>
              <w:rPr>
                <w:rFonts w:hint="eastAsia"/>
              </w:rPr>
              <w:t>万元</w:t>
            </w:r>
          </w:p>
        </w:tc>
        <w:tc>
          <w:tcPr>
            <w:tcW w:w="1417" w:type="dxa"/>
            <w:vAlign w:val="center"/>
          </w:tcPr>
          <w:p>
            <w:pPr>
              <w:pStyle w:val="36"/>
            </w:pPr>
            <w:r>
              <w:rPr>
                <w:rFonts w:hint="eastAsia"/>
              </w:rPr>
              <w:t>-</w:t>
            </w:r>
          </w:p>
        </w:tc>
        <w:tc>
          <w:tcPr>
            <w:tcW w:w="1134" w:type="dxa"/>
            <w:vAlign w:val="center"/>
          </w:tcPr>
          <w:p>
            <w:pPr>
              <w:pStyle w:val="36"/>
            </w:pPr>
            <w:r>
              <w:rPr>
                <w:rFonts w:hint="eastAsia"/>
              </w:rPr>
              <w:t>-</w:t>
            </w:r>
          </w:p>
        </w:tc>
        <w:tc>
          <w:tcPr>
            <w:tcW w:w="1179" w:type="dxa"/>
            <w:vAlign w:val="center"/>
          </w:tcPr>
          <w:p>
            <w:pPr>
              <w:pStyle w:val="36"/>
            </w:pPr>
            <w:r>
              <w:rPr>
                <w:rFonts w:hint="eastAsia"/>
              </w:rPr>
              <w:t>2</w:t>
            </w:r>
            <w:r>
              <w:t>595000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781" w:type="dxa"/>
            <w:vMerge w:val="continue"/>
            <w:vAlign w:val="center"/>
          </w:tcPr>
          <w:p>
            <w:pPr>
              <w:pStyle w:val="36"/>
            </w:pPr>
          </w:p>
        </w:tc>
        <w:tc>
          <w:tcPr>
            <w:tcW w:w="778" w:type="dxa"/>
            <w:vMerge w:val="continue"/>
            <w:vAlign w:val="center"/>
          </w:tcPr>
          <w:p>
            <w:pPr>
              <w:pStyle w:val="36"/>
            </w:pPr>
          </w:p>
        </w:tc>
        <w:tc>
          <w:tcPr>
            <w:tcW w:w="2628" w:type="dxa"/>
            <w:vAlign w:val="center"/>
          </w:tcPr>
          <w:p>
            <w:pPr>
              <w:pStyle w:val="36"/>
            </w:pPr>
            <w:r>
              <w:rPr>
                <w:rFonts w:hint="eastAsia"/>
              </w:rPr>
              <w:t>人均工业增加值</w:t>
            </w:r>
          </w:p>
        </w:tc>
        <w:tc>
          <w:tcPr>
            <w:tcW w:w="916" w:type="dxa"/>
            <w:vAlign w:val="center"/>
          </w:tcPr>
          <w:p>
            <w:pPr>
              <w:pStyle w:val="36"/>
            </w:pPr>
            <w:r>
              <w:rPr>
                <w:rFonts w:hint="eastAsia"/>
              </w:rPr>
              <w:t>万元/人</w:t>
            </w:r>
          </w:p>
        </w:tc>
        <w:tc>
          <w:tcPr>
            <w:tcW w:w="1417" w:type="dxa"/>
            <w:vAlign w:val="center"/>
          </w:tcPr>
          <w:p>
            <w:pPr>
              <w:pStyle w:val="36"/>
            </w:pPr>
            <w:r>
              <w:rPr>
                <w:rFonts w:hint="eastAsia"/>
              </w:rPr>
              <w:t>≥15</w:t>
            </w:r>
          </w:p>
        </w:tc>
        <w:tc>
          <w:tcPr>
            <w:tcW w:w="1134" w:type="dxa"/>
            <w:vAlign w:val="center"/>
          </w:tcPr>
          <w:p>
            <w:pPr>
              <w:pStyle w:val="36"/>
            </w:pPr>
            <w:r>
              <w:rPr>
                <w:rFonts w:hint="eastAsia"/>
              </w:rPr>
              <w:t>是</w:t>
            </w:r>
          </w:p>
        </w:tc>
        <w:tc>
          <w:tcPr>
            <w:tcW w:w="1179" w:type="dxa"/>
            <w:vAlign w:val="center"/>
          </w:tcPr>
          <w:p>
            <w:pPr>
              <w:pStyle w:val="36"/>
              <w:rPr>
                <w:highlight w:val="yellow"/>
              </w:rPr>
            </w:pPr>
            <w:r>
              <w:t>56.50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81" w:type="dxa"/>
            <w:vMerge w:val="continue"/>
            <w:vAlign w:val="center"/>
          </w:tcPr>
          <w:p>
            <w:pPr>
              <w:pStyle w:val="36"/>
            </w:pPr>
          </w:p>
        </w:tc>
        <w:tc>
          <w:tcPr>
            <w:tcW w:w="778" w:type="dxa"/>
            <w:vMerge w:val="restart"/>
            <w:vAlign w:val="center"/>
          </w:tcPr>
          <w:p>
            <w:pPr>
              <w:pStyle w:val="36"/>
            </w:pPr>
            <w:r>
              <w:rPr>
                <w:rFonts w:hint="eastAsia"/>
              </w:rPr>
              <w:t>3</w:t>
            </w:r>
          </w:p>
        </w:tc>
        <w:tc>
          <w:tcPr>
            <w:tcW w:w="2628" w:type="dxa"/>
            <w:vAlign w:val="center"/>
          </w:tcPr>
          <w:p>
            <w:pPr>
              <w:pStyle w:val="36"/>
            </w:pPr>
            <w:r>
              <w:rPr>
                <w:rFonts w:hint="eastAsia"/>
              </w:rPr>
              <w:t>规划基准年工业增加值</w:t>
            </w:r>
          </w:p>
        </w:tc>
        <w:tc>
          <w:tcPr>
            <w:tcW w:w="916" w:type="dxa"/>
            <w:vAlign w:val="center"/>
          </w:tcPr>
          <w:p>
            <w:pPr>
              <w:pStyle w:val="36"/>
            </w:pPr>
            <w:r>
              <w:rPr>
                <w:rFonts w:hint="eastAsia"/>
              </w:rPr>
              <w:t>万元</w:t>
            </w:r>
          </w:p>
        </w:tc>
        <w:tc>
          <w:tcPr>
            <w:tcW w:w="1417" w:type="dxa"/>
            <w:vAlign w:val="center"/>
          </w:tcPr>
          <w:p>
            <w:pPr>
              <w:pStyle w:val="36"/>
            </w:pPr>
            <w:r>
              <w:rPr>
                <w:rFonts w:hint="eastAsia"/>
              </w:rPr>
              <w:t>-</w:t>
            </w:r>
          </w:p>
        </w:tc>
        <w:tc>
          <w:tcPr>
            <w:tcW w:w="1134" w:type="dxa"/>
            <w:vAlign w:val="center"/>
          </w:tcPr>
          <w:p>
            <w:pPr>
              <w:pStyle w:val="36"/>
            </w:pPr>
            <w:r>
              <w:rPr>
                <w:rFonts w:hint="eastAsia"/>
              </w:rPr>
              <w:t>-</w:t>
            </w:r>
          </w:p>
        </w:tc>
        <w:tc>
          <w:tcPr>
            <w:tcW w:w="1179" w:type="dxa"/>
            <w:vAlign w:val="center"/>
          </w:tcPr>
          <w:p>
            <w:pPr>
              <w:pStyle w:val="36"/>
            </w:pPr>
            <w:r>
              <w:t>1887000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81" w:type="dxa"/>
            <w:vMerge w:val="continue"/>
            <w:vAlign w:val="center"/>
          </w:tcPr>
          <w:p>
            <w:pPr>
              <w:pStyle w:val="36"/>
              <w:rPr>
                <w:highlight w:val="yellow"/>
              </w:rPr>
            </w:pPr>
          </w:p>
        </w:tc>
        <w:tc>
          <w:tcPr>
            <w:tcW w:w="778" w:type="dxa"/>
            <w:vMerge w:val="continue"/>
            <w:vAlign w:val="center"/>
          </w:tcPr>
          <w:p>
            <w:pPr>
              <w:pStyle w:val="36"/>
              <w:rPr>
                <w:highlight w:val="yellow"/>
              </w:rPr>
            </w:pPr>
          </w:p>
        </w:tc>
        <w:tc>
          <w:tcPr>
            <w:tcW w:w="2628" w:type="dxa"/>
            <w:vAlign w:val="center"/>
          </w:tcPr>
          <w:p>
            <w:pPr>
              <w:pStyle w:val="36"/>
            </w:pPr>
            <w:r>
              <w:rPr>
                <w:rFonts w:hint="eastAsia"/>
              </w:rPr>
              <w:t>20</w:t>
            </w:r>
            <w:r>
              <w:t>19</w:t>
            </w:r>
            <w:r>
              <w:rPr>
                <w:rFonts w:hint="eastAsia"/>
              </w:rPr>
              <w:t>年工业增加值</w:t>
            </w:r>
          </w:p>
        </w:tc>
        <w:tc>
          <w:tcPr>
            <w:tcW w:w="916" w:type="dxa"/>
            <w:vAlign w:val="center"/>
          </w:tcPr>
          <w:p>
            <w:pPr>
              <w:pStyle w:val="36"/>
            </w:pPr>
            <w:r>
              <w:rPr>
                <w:rFonts w:hint="eastAsia"/>
              </w:rPr>
              <w:t>万元</w:t>
            </w:r>
          </w:p>
        </w:tc>
        <w:tc>
          <w:tcPr>
            <w:tcW w:w="1417" w:type="dxa"/>
            <w:vAlign w:val="center"/>
          </w:tcPr>
          <w:p>
            <w:pPr>
              <w:pStyle w:val="36"/>
            </w:pPr>
            <w:r>
              <w:rPr>
                <w:rFonts w:hint="eastAsia"/>
              </w:rPr>
              <w:t>-</w:t>
            </w:r>
          </w:p>
        </w:tc>
        <w:tc>
          <w:tcPr>
            <w:tcW w:w="1134" w:type="dxa"/>
            <w:vAlign w:val="center"/>
          </w:tcPr>
          <w:p>
            <w:pPr>
              <w:pStyle w:val="36"/>
            </w:pPr>
            <w:r>
              <w:rPr>
                <w:rFonts w:hint="eastAsia"/>
              </w:rPr>
              <w:t>-</w:t>
            </w:r>
          </w:p>
        </w:tc>
        <w:tc>
          <w:tcPr>
            <w:tcW w:w="1179" w:type="dxa"/>
            <w:vAlign w:val="center"/>
          </w:tcPr>
          <w:p>
            <w:pPr>
              <w:pStyle w:val="36"/>
            </w:pPr>
            <w:r>
              <w:t>2302000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81" w:type="dxa"/>
            <w:vMerge w:val="continue"/>
            <w:vAlign w:val="center"/>
          </w:tcPr>
          <w:p>
            <w:pPr>
              <w:pStyle w:val="36"/>
              <w:rPr>
                <w:highlight w:val="yellow"/>
              </w:rPr>
            </w:pPr>
          </w:p>
        </w:tc>
        <w:tc>
          <w:tcPr>
            <w:tcW w:w="778" w:type="dxa"/>
            <w:vMerge w:val="continue"/>
            <w:vAlign w:val="center"/>
          </w:tcPr>
          <w:p>
            <w:pPr>
              <w:pStyle w:val="36"/>
              <w:rPr>
                <w:highlight w:val="yellow"/>
              </w:rPr>
            </w:pPr>
          </w:p>
        </w:tc>
        <w:tc>
          <w:tcPr>
            <w:tcW w:w="2628" w:type="dxa"/>
            <w:vAlign w:val="center"/>
          </w:tcPr>
          <w:p>
            <w:pPr>
              <w:pStyle w:val="36"/>
            </w:pPr>
            <w:r>
              <w:rPr>
                <w:rFonts w:hint="eastAsia"/>
              </w:rPr>
              <w:t>园区工业增加值三年年均增长率</w:t>
            </w:r>
          </w:p>
        </w:tc>
        <w:tc>
          <w:tcPr>
            <w:tcW w:w="916" w:type="dxa"/>
            <w:vAlign w:val="center"/>
          </w:tcPr>
          <w:p>
            <w:pPr>
              <w:pStyle w:val="36"/>
            </w:pPr>
            <w:r>
              <w:rPr>
                <w:rFonts w:hint="eastAsia"/>
              </w:rPr>
              <w:t>%</w:t>
            </w:r>
          </w:p>
        </w:tc>
        <w:tc>
          <w:tcPr>
            <w:tcW w:w="1417" w:type="dxa"/>
            <w:vAlign w:val="center"/>
          </w:tcPr>
          <w:p>
            <w:pPr>
              <w:pStyle w:val="36"/>
            </w:pPr>
            <w:r>
              <w:rPr>
                <w:rFonts w:hint="eastAsia"/>
              </w:rPr>
              <w:t>≥15</w:t>
            </w:r>
          </w:p>
        </w:tc>
        <w:tc>
          <w:tcPr>
            <w:tcW w:w="1134" w:type="dxa"/>
            <w:vAlign w:val="center"/>
          </w:tcPr>
          <w:p>
            <w:pPr>
              <w:pStyle w:val="36"/>
            </w:pPr>
            <w:r>
              <w:rPr>
                <w:rFonts w:hint="eastAsia"/>
              </w:rPr>
              <w:t>否</w:t>
            </w:r>
          </w:p>
        </w:tc>
        <w:tc>
          <w:tcPr>
            <w:tcW w:w="1179" w:type="dxa"/>
            <w:vAlign w:val="center"/>
          </w:tcPr>
          <w:p>
            <w:pPr>
              <w:pStyle w:val="36"/>
            </w:pPr>
            <w:r>
              <w:t>4.07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81" w:type="dxa"/>
            <w:vMerge w:val="continue"/>
            <w:vAlign w:val="center"/>
          </w:tcPr>
          <w:p>
            <w:pPr>
              <w:pStyle w:val="36"/>
              <w:rPr>
                <w:highlight w:val="yellow"/>
              </w:rPr>
            </w:pPr>
          </w:p>
        </w:tc>
        <w:tc>
          <w:tcPr>
            <w:tcW w:w="778" w:type="dxa"/>
            <w:vMerge w:val="restart"/>
            <w:vAlign w:val="center"/>
          </w:tcPr>
          <w:p>
            <w:pPr>
              <w:pStyle w:val="36"/>
            </w:pPr>
            <w:r>
              <w:rPr>
                <w:rFonts w:hint="eastAsia"/>
              </w:rPr>
              <w:t>4</w:t>
            </w:r>
          </w:p>
        </w:tc>
        <w:tc>
          <w:tcPr>
            <w:tcW w:w="2628" w:type="dxa"/>
            <w:vAlign w:val="center"/>
          </w:tcPr>
          <w:p>
            <w:pPr>
              <w:pStyle w:val="36"/>
            </w:pPr>
            <w:r>
              <w:rPr>
                <w:rFonts w:hint="eastAsia"/>
              </w:rPr>
              <w:t>资源再生利用产业增加值</w:t>
            </w:r>
          </w:p>
        </w:tc>
        <w:tc>
          <w:tcPr>
            <w:tcW w:w="916" w:type="dxa"/>
            <w:vAlign w:val="center"/>
          </w:tcPr>
          <w:p>
            <w:pPr>
              <w:pStyle w:val="36"/>
            </w:pPr>
            <w:r>
              <w:rPr>
                <w:rFonts w:hint="eastAsia"/>
              </w:rPr>
              <w:t>万元</w:t>
            </w:r>
          </w:p>
        </w:tc>
        <w:tc>
          <w:tcPr>
            <w:tcW w:w="1417" w:type="dxa"/>
            <w:vAlign w:val="center"/>
          </w:tcPr>
          <w:p>
            <w:pPr>
              <w:pStyle w:val="36"/>
            </w:pPr>
            <w:r>
              <w:rPr>
                <w:rFonts w:hint="eastAsia"/>
              </w:rPr>
              <w:t>-</w:t>
            </w:r>
          </w:p>
        </w:tc>
        <w:tc>
          <w:tcPr>
            <w:tcW w:w="1134" w:type="dxa"/>
            <w:vAlign w:val="center"/>
          </w:tcPr>
          <w:p>
            <w:pPr>
              <w:pStyle w:val="36"/>
            </w:pPr>
            <w:r>
              <w:rPr>
                <w:rFonts w:hint="eastAsia"/>
              </w:rPr>
              <w:t>-</w:t>
            </w:r>
          </w:p>
        </w:tc>
        <w:tc>
          <w:tcPr>
            <w:tcW w:w="1179" w:type="dxa"/>
            <w:vAlign w:val="center"/>
          </w:tcPr>
          <w:p>
            <w:pPr>
              <w:pStyle w:val="36"/>
            </w:pPr>
            <w:r>
              <w:rPr>
                <w:rFonts w:hint="eastAsia"/>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81" w:type="dxa"/>
            <w:vMerge w:val="continue"/>
            <w:vAlign w:val="center"/>
          </w:tcPr>
          <w:p>
            <w:pPr>
              <w:pStyle w:val="36"/>
              <w:rPr>
                <w:highlight w:val="yellow"/>
              </w:rPr>
            </w:pPr>
          </w:p>
        </w:tc>
        <w:tc>
          <w:tcPr>
            <w:tcW w:w="778" w:type="dxa"/>
            <w:vMerge w:val="continue"/>
            <w:vAlign w:val="center"/>
          </w:tcPr>
          <w:p>
            <w:pPr>
              <w:pStyle w:val="36"/>
            </w:pPr>
          </w:p>
        </w:tc>
        <w:tc>
          <w:tcPr>
            <w:tcW w:w="2628" w:type="dxa"/>
            <w:vAlign w:val="center"/>
          </w:tcPr>
          <w:p>
            <w:pPr>
              <w:pStyle w:val="36"/>
            </w:pPr>
            <w:r>
              <w:rPr>
                <w:rFonts w:hint="eastAsia"/>
              </w:rPr>
              <w:t>资源再生利用产业增加值占园区工业增加值比例</w:t>
            </w:r>
          </w:p>
        </w:tc>
        <w:tc>
          <w:tcPr>
            <w:tcW w:w="916" w:type="dxa"/>
            <w:vAlign w:val="center"/>
          </w:tcPr>
          <w:p>
            <w:pPr>
              <w:pStyle w:val="36"/>
            </w:pPr>
            <w:r>
              <w:rPr>
                <w:rFonts w:hint="eastAsia"/>
              </w:rPr>
              <w:t>%</w:t>
            </w:r>
          </w:p>
        </w:tc>
        <w:tc>
          <w:tcPr>
            <w:tcW w:w="1417" w:type="dxa"/>
            <w:vAlign w:val="center"/>
          </w:tcPr>
          <w:p>
            <w:pPr>
              <w:pStyle w:val="36"/>
            </w:pPr>
            <w:r>
              <w:rPr>
                <w:rFonts w:hint="eastAsia"/>
              </w:rPr>
              <w:t>≥30</w:t>
            </w:r>
          </w:p>
        </w:tc>
        <w:tc>
          <w:tcPr>
            <w:tcW w:w="1134" w:type="dxa"/>
            <w:vAlign w:val="center"/>
          </w:tcPr>
          <w:p>
            <w:pPr>
              <w:pStyle w:val="36"/>
            </w:pPr>
            <w:r>
              <w:rPr>
                <w:rFonts w:hint="eastAsia"/>
              </w:rPr>
              <w:t>否</w:t>
            </w:r>
          </w:p>
        </w:tc>
        <w:tc>
          <w:tcPr>
            <w:tcW w:w="1179" w:type="dxa"/>
            <w:vAlign w:val="center"/>
          </w:tcPr>
          <w:p>
            <w:pPr>
              <w:pStyle w:val="36"/>
            </w:pPr>
            <w:r>
              <w:rPr>
                <w:rFonts w:hint="eastAsia"/>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81" w:type="dxa"/>
            <w:vMerge w:val="restart"/>
            <w:vAlign w:val="center"/>
          </w:tcPr>
          <w:p>
            <w:pPr>
              <w:pStyle w:val="36"/>
              <w:rPr>
                <w:highlight w:val="yellow"/>
              </w:rPr>
            </w:pPr>
            <w:r>
              <w:rPr>
                <w:rFonts w:hint="eastAsia"/>
              </w:rPr>
              <w:t>产业共生</w:t>
            </w:r>
          </w:p>
        </w:tc>
        <w:tc>
          <w:tcPr>
            <w:tcW w:w="778" w:type="dxa"/>
            <w:vAlign w:val="center"/>
          </w:tcPr>
          <w:p>
            <w:pPr>
              <w:pStyle w:val="36"/>
            </w:pPr>
            <w:r>
              <w:rPr>
                <w:rFonts w:hint="eastAsia"/>
              </w:rPr>
              <w:t>5</w:t>
            </w:r>
          </w:p>
        </w:tc>
        <w:tc>
          <w:tcPr>
            <w:tcW w:w="2628" w:type="dxa"/>
            <w:vAlign w:val="center"/>
          </w:tcPr>
          <w:p>
            <w:pPr>
              <w:pStyle w:val="36"/>
            </w:pPr>
            <w:r>
              <w:rPr>
                <w:rFonts w:hint="eastAsia"/>
              </w:rPr>
              <w:t>建设规划实施后新增构建生态工业链项目数量</w:t>
            </w:r>
          </w:p>
        </w:tc>
        <w:tc>
          <w:tcPr>
            <w:tcW w:w="916" w:type="dxa"/>
            <w:vAlign w:val="center"/>
          </w:tcPr>
          <w:p>
            <w:pPr>
              <w:pStyle w:val="36"/>
            </w:pPr>
            <w:r>
              <w:rPr>
                <w:rFonts w:hint="eastAsia"/>
              </w:rPr>
              <w:t>个</w:t>
            </w:r>
          </w:p>
        </w:tc>
        <w:tc>
          <w:tcPr>
            <w:tcW w:w="1417" w:type="dxa"/>
            <w:vAlign w:val="center"/>
          </w:tcPr>
          <w:p>
            <w:pPr>
              <w:pStyle w:val="36"/>
            </w:pPr>
            <w:r>
              <w:rPr>
                <w:rFonts w:hint="eastAsia"/>
              </w:rPr>
              <w:t>≥6</w:t>
            </w:r>
          </w:p>
        </w:tc>
        <w:tc>
          <w:tcPr>
            <w:tcW w:w="1134" w:type="dxa"/>
            <w:vAlign w:val="center"/>
          </w:tcPr>
          <w:p>
            <w:pPr>
              <w:pStyle w:val="36"/>
            </w:pPr>
            <w:r>
              <w:rPr>
                <w:rFonts w:hint="eastAsia"/>
              </w:rPr>
              <w:t>必选</w:t>
            </w:r>
          </w:p>
        </w:tc>
        <w:tc>
          <w:tcPr>
            <w:tcW w:w="1179" w:type="dxa"/>
            <w:vAlign w:val="center"/>
          </w:tcPr>
          <w:p>
            <w:pPr>
              <w:pStyle w:val="36"/>
            </w:pPr>
            <w:r>
              <w:rPr>
                <w:rFonts w:hint="eastAsia"/>
              </w:rPr>
              <w:t>1</w:t>
            </w:r>
            <w:r>
              <w:t>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81" w:type="dxa"/>
            <w:vMerge w:val="continue"/>
            <w:vAlign w:val="center"/>
          </w:tcPr>
          <w:p>
            <w:pPr>
              <w:pStyle w:val="36"/>
              <w:rPr>
                <w:highlight w:val="yellow"/>
              </w:rPr>
            </w:pPr>
          </w:p>
        </w:tc>
        <w:tc>
          <w:tcPr>
            <w:tcW w:w="778" w:type="dxa"/>
            <w:vMerge w:val="restart"/>
            <w:vAlign w:val="center"/>
          </w:tcPr>
          <w:p>
            <w:pPr>
              <w:pStyle w:val="36"/>
            </w:pPr>
            <w:r>
              <w:rPr>
                <w:rFonts w:hint="eastAsia"/>
              </w:rPr>
              <w:t>6</w:t>
            </w:r>
          </w:p>
        </w:tc>
        <w:tc>
          <w:tcPr>
            <w:tcW w:w="2628" w:type="dxa"/>
            <w:vAlign w:val="center"/>
          </w:tcPr>
          <w:p>
            <w:pPr>
              <w:pStyle w:val="36"/>
            </w:pPr>
            <w:r>
              <w:rPr>
                <w:rFonts w:hint="eastAsia"/>
              </w:rPr>
              <w:t>工业固体废物综合利用量</w:t>
            </w:r>
          </w:p>
        </w:tc>
        <w:tc>
          <w:tcPr>
            <w:tcW w:w="916" w:type="dxa"/>
            <w:vAlign w:val="center"/>
          </w:tcPr>
          <w:p>
            <w:pPr>
              <w:pStyle w:val="36"/>
            </w:pPr>
            <w:r>
              <w:rPr>
                <w:rFonts w:hint="eastAsia"/>
              </w:rPr>
              <w:t>吨</w:t>
            </w:r>
          </w:p>
        </w:tc>
        <w:tc>
          <w:tcPr>
            <w:tcW w:w="1417" w:type="dxa"/>
            <w:vAlign w:val="center"/>
          </w:tcPr>
          <w:p>
            <w:pPr>
              <w:pStyle w:val="36"/>
            </w:pPr>
            <w:r>
              <w:rPr>
                <w:rFonts w:hint="eastAsia"/>
              </w:rPr>
              <w:t>-</w:t>
            </w:r>
          </w:p>
        </w:tc>
        <w:tc>
          <w:tcPr>
            <w:tcW w:w="1134" w:type="dxa"/>
            <w:vAlign w:val="center"/>
          </w:tcPr>
          <w:p>
            <w:pPr>
              <w:pStyle w:val="36"/>
            </w:pPr>
            <w:r>
              <w:rPr>
                <w:rFonts w:hint="eastAsia"/>
              </w:rPr>
              <w:t>-</w:t>
            </w:r>
          </w:p>
        </w:tc>
        <w:tc>
          <w:tcPr>
            <w:tcW w:w="1179" w:type="dxa"/>
            <w:vAlign w:val="center"/>
          </w:tcPr>
          <w:p>
            <w:pPr>
              <w:pStyle w:val="36"/>
            </w:pPr>
            <w:r>
              <w:t>151012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81" w:type="dxa"/>
            <w:vMerge w:val="continue"/>
            <w:vAlign w:val="center"/>
          </w:tcPr>
          <w:p>
            <w:pPr>
              <w:pStyle w:val="36"/>
              <w:rPr>
                <w:highlight w:val="yellow"/>
              </w:rPr>
            </w:pPr>
          </w:p>
        </w:tc>
        <w:tc>
          <w:tcPr>
            <w:tcW w:w="778" w:type="dxa"/>
            <w:vMerge w:val="continue"/>
            <w:vAlign w:val="center"/>
          </w:tcPr>
          <w:p>
            <w:pPr>
              <w:pStyle w:val="36"/>
            </w:pPr>
          </w:p>
        </w:tc>
        <w:tc>
          <w:tcPr>
            <w:tcW w:w="2628" w:type="dxa"/>
            <w:vAlign w:val="center"/>
          </w:tcPr>
          <w:p>
            <w:pPr>
              <w:pStyle w:val="36"/>
            </w:pPr>
            <w:r>
              <w:rPr>
                <w:rFonts w:hint="eastAsia"/>
              </w:rPr>
              <w:t>工业固体废物总产生量</w:t>
            </w:r>
          </w:p>
        </w:tc>
        <w:tc>
          <w:tcPr>
            <w:tcW w:w="916" w:type="dxa"/>
            <w:vAlign w:val="center"/>
          </w:tcPr>
          <w:p>
            <w:pPr>
              <w:pStyle w:val="36"/>
            </w:pPr>
            <w:r>
              <w:rPr>
                <w:rFonts w:hint="eastAsia"/>
              </w:rPr>
              <w:t>吨</w:t>
            </w:r>
          </w:p>
        </w:tc>
        <w:tc>
          <w:tcPr>
            <w:tcW w:w="1417" w:type="dxa"/>
            <w:vAlign w:val="center"/>
          </w:tcPr>
          <w:p>
            <w:pPr>
              <w:pStyle w:val="36"/>
            </w:pPr>
            <w:r>
              <w:rPr>
                <w:rFonts w:hint="eastAsia"/>
              </w:rPr>
              <w:t>-</w:t>
            </w:r>
          </w:p>
        </w:tc>
        <w:tc>
          <w:tcPr>
            <w:tcW w:w="1134" w:type="dxa"/>
            <w:vAlign w:val="center"/>
          </w:tcPr>
          <w:p>
            <w:pPr>
              <w:pStyle w:val="36"/>
            </w:pPr>
            <w:r>
              <w:rPr>
                <w:rFonts w:hint="eastAsia"/>
              </w:rPr>
              <w:t>-</w:t>
            </w:r>
          </w:p>
        </w:tc>
        <w:tc>
          <w:tcPr>
            <w:tcW w:w="1179" w:type="dxa"/>
            <w:vAlign w:val="center"/>
          </w:tcPr>
          <w:p>
            <w:pPr>
              <w:pStyle w:val="36"/>
            </w:pPr>
            <w:r>
              <w:rPr>
                <w:rFonts w:hint="eastAsia"/>
              </w:rPr>
              <w:t>1</w:t>
            </w:r>
            <w:r>
              <w:t>76234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81" w:type="dxa"/>
            <w:vMerge w:val="continue"/>
            <w:vAlign w:val="center"/>
          </w:tcPr>
          <w:p>
            <w:pPr>
              <w:pStyle w:val="36"/>
              <w:rPr>
                <w:highlight w:val="yellow"/>
              </w:rPr>
            </w:pPr>
          </w:p>
        </w:tc>
        <w:tc>
          <w:tcPr>
            <w:tcW w:w="778" w:type="dxa"/>
            <w:vMerge w:val="continue"/>
            <w:vAlign w:val="center"/>
          </w:tcPr>
          <w:p>
            <w:pPr>
              <w:pStyle w:val="36"/>
            </w:pPr>
          </w:p>
        </w:tc>
        <w:tc>
          <w:tcPr>
            <w:tcW w:w="2628" w:type="dxa"/>
            <w:vAlign w:val="center"/>
          </w:tcPr>
          <w:p>
            <w:pPr>
              <w:pStyle w:val="36"/>
            </w:pPr>
            <w:r>
              <w:rPr>
                <w:rFonts w:hint="eastAsia"/>
              </w:rPr>
              <w:t>综合利用往年贮存量</w:t>
            </w:r>
          </w:p>
        </w:tc>
        <w:tc>
          <w:tcPr>
            <w:tcW w:w="916" w:type="dxa"/>
            <w:vAlign w:val="center"/>
          </w:tcPr>
          <w:p>
            <w:pPr>
              <w:pStyle w:val="36"/>
            </w:pPr>
            <w:r>
              <w:rPr>
                <w:rFonts w:hint="eastAsia"/>
              </w:rPr>
              <w:t>吨</w:t>
            </w:r>
          </w:p>
        </w:tc>
        <w:tc>
          <w:tcPr>
            <w:tcW w:w="1417" w:type="dxa"/>
            <w:vAlign w:val="center"/>
          </w:tcPr>
          <w:p>
            <w:pPr>
              <w:pStyle w:val="36"/>
            </w:pPr>
            <w:r>
              <w:rPr>
                <w:rFonts w:hint="eastAsia"/>
              </w:rPr>
              <w:t>-</w:t>
            </w:r>
          </w:p>
        </w:tc>
        <w:tc>
          <w:tcPr>
            <w:tcW w:w="1134" w:type="dxa"/>
            <w:vAlign w:val="center"/>
          </w:tcPr>
          <w:p>
            <w:pPr>
              <w:pStyle w:val="36"/>
            </w:pPr>
            <w:r>
              <w:rPr>
                <w:rFonts w:hint="eastAsia"/>
              </w:rPr>
              <w:t>-</w:t>
            </w:r>
          </w:p>
        </w:tc>
        <w:tc>
          <w:tcPr>
            <w:tcW w:w="1179" w:type="dxa"/>
            <w:vAlign w:val="center"/>
          </w:tcPr>
          <w:p>
            <w:pPr>
              <w:pStyle w:val="36"/>
            </w:pPr>
            <w:r>
              <w:rPr>
                <w:rFonts w:hint="eastAsia"/>
              </w:rPr>
              <w:t>1</w:t>
            </w:r>
            <w:r>
              <w:t>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81" w:type="dxa"/>
            <w:vMerge w:val="continue"/>
            <w:vAlign w:val="center"/>
          </w:tcPr>
          <w:p>
            <w:pPr>
              <w:pStyle w:val="36"/>
              <w:rPr>
                <w:highlight w:val="yellow"/>
              </w:rPr>
            </w:pPr>
          </w:p>
        </w:tc>
        <w:tc>
          <w:tcPr>
            <w:tcW w:w="778" w:type="dxa"/>
            <w:vMerge w:val="continue"/>
            <w:vAlign w:val="center"/>
          </w:tcPr>
          <w:p>
            <w:pPr>
              <w:pStyle w:val="36"/>
            </w:pPr>
          </w:p>
        </w:tc>
        <w:tc>
          <w:tcPr>
            <w:tcW w:w="2628" w:type="dxa"/>
            <w:vAlign w:val="center"/>
          </w:tcPr>
          <w:p>
            <w:pPr>
              <w:pStyle w:val="36"/>
            </w:pPr>
            <w:r>
              <w:rPr>
                <w:rFonts w:hint="eastAsia"/>
              </w:rPr>
              <w:t>工业固体废物综合利用率a</w:t>
            </w:r>
          </w:p>
        </w:tc>
        <w:tc>
          <w:tcPr>
            <w:tcW w:w="916" w:type="dxa"/>
            <w:vAlign w:val="center"/>
          </w:tcPr>
          <w:p>
            <w:pPr>
              <w:pStyle w:val="36"/>
            </w:pPr>
            <w:r>
              <w:rPr>
                <w:rFonts w:hint="eastAsia"/>
              </w:rPr>
              <w:t>%</w:t>
            </w:r>
          </w:p>
        </w:tc>
        <w:tc>
          <w:tcPr>
            <w:tcW w:w="1417" w:type="dxa"/>
            <w:vAlign w:val="center"/>
          </w:tcPr>
          <w:p>
            <w:pPr>
              <w:pStyle w:val="36"/>
            </w:pPr>
            <w:r>
              <w:rPr>
                <w:rFonts w:hint="eastAsia"/>
              </w:rPr>
              <w:t>≥70</w:t>
            </w:r>
          </w:p>
        </w:tc>
        <w:tc>
          <w:tcPr>
            <w:tcW w:w="1134" w:type="dxa"/>
            <w:vAlign w:val="center"/>
          </w:tcPr>
          <w:p>
            <w:pPr>
              <w:pStyle w:val="36"/>
            </w:pPr>
            <w:r>
              <w:rPr>
                <w:rFonts w:hint="eastAsia"/>
              </w:rPr>
              <w:t>是</w:t>
            </w:r>
          </w:p>
        </w:tc>
        <w:tc>
          <w:tcPr>
            <w:tcW w:w="1179" w:type="dxa"/>
            <w:vAlign w:val="center"/>
          </w:tcPr>
          <w:p>
            <w:pPr>
              <w:pStyle w:val="36"/>
            </w:pPr>
            <w:r>
              <w:t>85.64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81" w:type="dxa"/>
            <w:vMerge w:val="continue"/>
            <w:vAlign w:val="center"/>
          </w:tcPr>
          <w:p>
            <w:pPr>
              <w:pStyle w:val="36"/>
              <w:rPr>
                <w:highlight w:val="yellow"/>
              </w:rPr>
            </w:pPr>
          </w:p>
        </w:tc>
        <w:tc>
          <w:tcPr>
            <w:tcW w:w="778" w:type="dxa"/>
            <w:vMerge w:val="restart"/>
            <w:vAlign w:val="center"/>
          </w:tcPr>
          <w:p>
            <w:pPr>
              <w:pStyle w:val="36"/>
            </w:pPr>
            <w:r>
              <w:rPr>
                <w:rFonts w:hint="eastAsia"/>
              </w:rPr>
              <w:t>7</w:t>
            </w:r>
          </w:p>
        </w:tc>
        <w:tc>
          <w:tcPr>
            <w:tcW w:w="2628" w:type="dxa"/>
            <w:vAlign w:val="center"/>
          </w:tcPr>
          <w:p>
            <w:pPr>
              <w:pStyle w:val="36"/>
            </w:pPr>
            <w:r>
              <w:rPr>
                <w:rFonts w:hint="eastAsia"/>
              </w:rPr>
              <w:t>再生产业再生资源循环利用量</w:t>
            </w:r>
          </w:p>
        </w:tc>
        <w:tc>
          <w:tcPr>
            <w:tcW w:w="916" w:type="dxa"/>
            <w:vAlign w:val="center"/>
          </w:tcPr>
          <w:p>
            <w:pPr>
              <w:pStyle w:val="36"/>
            </w:pPr>
            <w:r>
              <w:rPr>
                <w:rFonts w:hint="eastAsia"/>
              </w:rPr>
              <w:t>吨</w:t>
            </w:r>
          </w:p>
        </w:tc>
        <w:tc>
          <w:tcPr>
            <w:tcW w:w="1417" w:type="dxa"/>
            <w:vAlign w:val="center"/>
          </w:tcPr>
          <w:p>
            <w:pPr>
              <w:pStyle w:val="36"/>
            </w:pPr>
            <w:r>
              <w:rPr>
                <w:rFonts w:hint="eastAsia"/>
              </w:rPr>
              <w:t>-</w:t>
            </w:r>
          </w:p>
        </w:tc>
        <w:tc>
          <w:tcPr>
            <w:tcW w:w="1134" w:type="dxa"/>
            <w:vAlign w:val="center"/>
          </w:tcPr>
          <w:p>
            <w:pPr>
              <w:pStyle w:val="36"/>
            </w:pPr>
            <w:r>
              <w:rPr>
                <w:rFonts w:hint="eastAsia"/>
              </w:rPr>
              <w:t>-</w:t>
            </w:r>
          </w:p>
        </w:tc>
        <w:tc>
          <w:tcPr>
            <w:tcW w:w="1179" w:type="dxa"/>
            <w:vAlign w:val="center"/>
          </w:tcPr>
          <w:p>
            <w:pPr>
              <w:pStyle w:val="36"/>
            </w:pPr>
            <w:r>
              <w:rPr>
                <w:rFonts w:hint="eastAsia"/>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81" w:type="dxa"/>
            <w:vMerge w:val="continue"/>
            <w:vAlign w:val="center"/>
          </w:tcPr>
          <w:p>
            <w:pPr>
              <w:pStyle w:val="36"/>
              <w:rPr>
                <w:highlight w:val="yellow"/>
              </w:rPr>
            </w:pPr>
          </w:p>
        </w:tc>
        <w:tc>
          <w:tcPr>
            <w:tcW w:w="778" w:type="dxa"/>
            <w:vMerge w:val="continue"/>
            <w:vAlign w:val="center"/>
          </w:tcPr>
          <w:p>
            <w:pPr>
              <w:pStyle w:val="36"/>
            </w:pPr>
          </w:p>
        </w:tc>
        <w:tc>
          <w:tcPr>
            <w:tcW w:w="2628" w:type="dxa"/>
            <w:vAlign w:val="center"/>
          </w:tcPr>
          <w:p>
            <w:pPr>
              <w:pStyle w:val="36"/>
            </w:pPr>
            <w:r>
              <w:rPr>
                <w:rFonts w:hint="eastAsia"/>
              </w:rPr>
              <w:t>再生资源收集量</w:t>
            </w:r>
          </w:p>
        </w:tc>
        <w:tc>
          <w:tcPr>
            <w:tcW w:w="916" w:type="dxa"/>
            <w:vAlign w:val="center"/>
          </w:tcPr>
          <w:p>
            <w:pPr>
              <w:pStyle w:val="36"/>
            </w:pPr>
            <w:r>
              <w:rPr>
                <w:rFonts w:hint="eastAsia"/>
              </w:rPr>
              <w:t>吨</w:t>
            </w:r>
          </w:p>
        </w:tc>
        <w:tc>
          <w:tcPr>
            <w:tcW w:w="1417" w:type="dxa"/>
            <w:vAlign w:val="center"/>
          </w:tcPr>
          <w:p>
            <w:pPr>
              <w:pStyle w:val="36"/>
            </w:pPr>
            <w:r>
              <w:rPr>
                <w:rFonts w:hint="eastAsia"/>
              </w:rPr>
              <w:t>-</w:t>
            </w:r>
          </w:p>
        </w:tc>
        <w:tc>
          <w:tcPr>
            <w:tcW w:w="1134" w:type="dxa"/>
            <w:vAlign w:val="center"/>
          </w:tcPr>
          <w:p>
            <w:pPr>
              <w:pStyle w:val="36"/>
            </w:pPr>
            <w:r>
              <w:rPr>
                <w:rFonts w:hint="eastAsia"/>
              </w:rPr>
              <w:t>-</w:t>
            </w:r>
          </w:p>
        </w:tc>
        <w:tc>
          <w:tcPr>
            <w:tcW w:w="1179" w:type="dxa"/>
            <w:vAlign w:val="center"/>
          </w:tcPr>
          <w:p>
            <w:pPr>
              <w:pStyle w:val="36"/>
            </w:pPr>
            <w:r>
              <w:rPr>
                <w:rFonts w:hint="eastAsia"/>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81" w:type="dxa"/>
            <w:vMerge w:val="continue"/>
            <w:vAlign w:val="center"/>
          </w:tcPr>
          <w:p>
            <w:pPr>
              <w:pStyle w:val="36"/>
              <w:rPr>
                <w:highlight w:val="yellow"/>
              </w:rPr>
            </w:pPr>
          </w:p>
        </w:tc>
        <w:tc>
          <w:tcPr>
            <w:tcW w:w="778" w:type="dxa"/>
            <w:vMerge w:val="continue"/>
            <w:vAlign w:val="center"/>
          </w:tcPr>
          <w:p>
            <w:pPr>
              <w:pStyle w:val="36"/>
            </w:pPr>
          </w:p>
        </w:tc>
        <w:tc>
          <w:tcPr>
            <w:tcW w:w="2628" w:type="dxa"/>
            <w:vAlign w:val="center"/>
          </w:tcPr>
          <w:p>
            <w:pPr>
              <w:pStyle w:val="36"/>
            </w:pPr>
            <w:r>
              <w:rPr>
                <w:rFonts w:hint="eastAsia"/>
              </w:rPr>
              <w:t>再生资源循环利用率b</w:t>
            </w:r>
          </w:p>
        </w:tc>
        <w:tc>
          <w:tcPr>
            <w:tcW w:w="916" w:type="dxa"/>
            <w:vAlign w:val="center"/>
          </w:tcPr>
          <w:p>
            <w:pPr>
              <w:pStyle w:val="36"/>
            </w:pPr>
            <w:r>
              <w:rPr>
                <w:rFonts w:hint="eastAsia"/>
              </w:rPr>
              <w:t>%</w:t>
            </w:r>
          </w:p>
        </w:tc>
        <w:tc>
          <w:tcPr>
            <w:tcW w:w="1417" w:type="dxa"/>
            <w:vAlign w:val="center"/>
          </w:tcPr>
          <w:p>
            <w:pPr>
              <w:pStyle w:val="36"/>
            </w:pPr>
            <w:r>
              <w:rPr>
                <w:rFonts w:hint="eastAsia"/>
              </w:rPr>
              <w:t>≥80</w:t>
            </w:r>
          </w:p>
        </w:tc>
        <w:tc>
          <w:tcPr>
            <w:tcW w:w="1134" w:type="dxa"/>
            <w:vAlign w:val="center"/>
          </w:tcPr>
          <w:p>
            <w:pPr>
              <w:pStyle w:val="36"/>
            </w:pPr>
            <w:r>
              <w:rPr>
                <w:rFonts w:hint="eastAsia"/>
              </w:rPr>
              <w:t>否</w:t>
            </w:r>
          </w:p>
        </w:tc>
        <w:tc>
          <w:tcPr>
            <w:tcW w:w="1179" w:type="dxa"/>
            <w:vAlign w:val="center"/>
          </w:tcPr>
          <w:p>
            <w:pPr>
              <w:pStyle w:val="36"/>
            </w:pPr>
            <w:r>
              <w:rPr>
                <w:rFonts w:hint="eastAsia"/>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81" w:type="dxa"/>
            <w:vMerge w:val="restart"/>
            <w:vAlign w:val="center"/>
          </w:tcPr>
          <w:p>
            <w:pPr>
              <w:pStyle w:val="36"/>
              <w:rPr>
                <w:highlight w:val="yellow"/>
              </w:rPr>
            </w:pPr>
            <w:r>
              <w:rPr>
                <w:rFonts w:hint="eastAsia"/>
              </w:rPr>
              <w:t>资源节约</w:t>
            </w:r>
          </w:p>
        </w:tc>
        <w:tc>
          <w:tcPr>
            <w:tcW w:w="778" w:type="dxa"/>
            <w:vMerge w:val="restart"/>
            <w:vAlign w:val="center"/>
          </w:tcPr>
          <w:p>
            <w:pPr>
              <w:pStyle w:val="36"/>
            </w:pPr>
            <w:r>
              <w:rPr>
                <w:rFonts w:hint="eastAsia"/>
              </w:rPr>
              <w:t>8</w:t>
            </w:r>
          </w:p>
        </w:tc>
        <w:tc>
          <w:tcPr>
            <w:tcW w:w="2628" w:type="dxa"/>
            <w:vAlign w:val="center"/>
          </w:tcPr>
          <w:p>
            <w:pPr>
              <w:pStyle w:val="36"/>
            </w:pPr>
            <w:r>
              <w:rPr>
                <w:rFonts w:hint="eastAsia"/>
              </w:rPr>
              <w:t>工业用地面积</w:t>
            </w:r>
          </w:p>
        </w:tc>
        <w:tc>
          <w:tcPr>
            <w:tcW w:w="916" w:type="dxa"/>
            <w:vAlign w:val="center"/>
          </w:tcPr>
          <w:p>
            <w:pPr>
              <w:pStyle w:val="36"/>
            </w:pPr>
            <w:r>
              <w:rPr>
                <w:rFonts w:hint="eastAsia"/>
              </w:rPr>
              <w:t>平方公里</w:t>
            </w:r>
          </w:p>
        </w:tc>
        <w:tc>
          <w:tcPr>
            <w:tcW w:w="1417" w:type="dxa"/>
            <w:vAlign w:val="center"/>
          </w:tcPr>
          <w:p>
            <w:pPr>
              <w:pStyle w:val="36"/>
            </w:pPr>
            <w:r>
              <w:rPr>
                <w:rFonts w:hint="eastAsia"/>
              </w:rPr>
              <w:t>-</w:t>
            </w:r>
          </w:p>
        </w:tc>
        <w:tc>
          <w:tcPr>
            <w:tcW w:w="1134" w:type="dxa"/>
            <w:vAlign w:val="center"/>
          </w:tcPr>
          <w:p>
            <w:pPr>
              <w:pStyle w:val="36"/>
            </w:pPr>
            <w:r>
              <w:rPr>
                <w:rFonts w:hint="eastAsia"/>
              </w:rPr>
              <w:t>-</w:t>
            </w:r>
          </w:p>
        </w:tc>
        <w:tc>
          <w:tcPr>
            <w:tcW w:w="1179" w:type="dxa"/>
            <w:vAlign w:val="center"/>
          </w:tcPr>
          <w:p>
            <w:pPr>
              <w:pStyle w:val="36"/>
            </w:pPr>
            <w:r>
              <w:t>19.39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81" w:type="dxa"/>
            <w:vMerge w:val="continue"/>
            <w:vAlign w:val="center"/>
          </w:tcPr>
          <w:p>
            <w:pPr>
              <w:pStyle w:val="36"/>
              <w:rPr>
                <w:highlight w:val="yellow"/>
              </w:rPr>
            </w:pPr>
          </w:p>
        </w:tc>
        <w:tc>
          <w:tcPr>
            <w:tcW w:w="778" w:type="dxa"/>
            <w:vMerge w:val="continue"/>
            <w:vAlign w:val="center"/>
          </w:tcPr>
          <w:p>
            <w:pPr>
              <w:pStyle w:val="36"/>
            </w:pPr>
          </w:p>
        </w:tc>
        <w:tc>
          <w:tcPr>
            <w:tcW w:w="2628" w:type="dxa"/>
            <w:vAlign w:val="center"/>
          </w:tcPr>
          <w:p>
            <w:pPr>
              <w:pStyle w:val="36"/>
            </w:pPr>
            <w:r>
              <w:rPr>
                <w:rFonts w:hint="eastAsia"/>
              </w:rPr>
              <w:t>单位工业用地面积工业增加值</w:t>
            </w:r>
          </w:p>
        </w:tc>
        <w:tc>
          <w:tcPr>
            <w:tcW w:w="916" w:type="dxa"/>
            <w:vAlign w:val="center"/>
          </w:tcPr>
          <w:p>
            <w:pPr>
              <w:pStyle w:val="36"/>
            </w:pPr>
            <w:r>
              <w:rPr>
                <w:rFonts w:hint="eastAsia"/>
              </w:rPr>
              <w:t>亿元/平方公里</w:t>
            </w:r>
          </w:p>
        </w:tc>
        <w:tc>
          <w:tcPr>
            <w:tcW w:w="1417" w:type="dxa"/>
            <w:vAlign w:val="center"/>
          </w:tcPr>
          <w:p>
            <w:pPr>
              <w:pStyle w:val="36"/>
            </w:pPr>
            <w:r>
              <w:rPr>
                <w:rFonts w:hint="eastAsia"/>
              </w:rPr>
              <w:t>≥9</w:t>
            </w:r>
          </w:p>
        </w:tc>
        <w:tc>
          <w:tcPr>
            <w:tcW w:w="1134" w:type="dxa"/>
            <w:vAlign w:val="center"/>
          </w:tcPr>
          <w:p>
            <w:pPr>
              <w:pStyle w:val="36"/>
            </w:pPr>
            <w:r>
              <w:rPr>
                <w:rFonts w:hint="eastAsia"/>
              </w:rPr>
              <w:t>是</w:t>
            </w:r>
          </w:p>
        </w:tc>
        <w:tc>
          <w:tcPr>
            <w:tcW w:w="1179" w:type="dxa"/>
            <w:vAlign w:val="center"/>
          </w:tcPr>
          <w:p>
            <w:pPr>
              <w:pStyle w:val="36"/>
            </w:pPr>
            <w:r>
              <w:t>13.38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81" w:type="dxa"/>
            <w:vMerge w:val="continue"/>
            <w:vAlign w:val="center"/>
          </w:tcPr>
          <w:p>
            <w:pPr>
              <w:pStyle w:val="36"/>
              <w:rPr>
                <w:highlight w:val="yellow"/>
              </w:rPr>
            </w:pPr>
          </w:p>
        </w:tc>
        <w:tc>
          <w:tcPr>
            <w:tcW w:w="778" w:type="dxa"/>
            <w:vMerge w:val="restart"/>
            <w:vAlign w:val="center"/>
          </w:tcPr>
          <w:p>
            <w:pPr>
              <w:pStyle w:val="36"/>
            </w:pPr>
            <w:r>
              <w:rPr>
                <w:rFonts w:hint="eastAsia"/>
              </w:rPr>
              <w:t>9</w:t>
            </w:r>
          </w:p>
        </w:tc>
        <w:tc>
          <w:tcPr>
            <w:tcW w:w="2628" w:type="dxa"/>
            <w:vAlign w:val="center"/>
          </w:tcPr>
          <w:p>
            <w:pPr>
              <w:pStyle w:val="36"/>
            </w:pPr>
            <w:r>
              <w:rPr>
                <w:rFonts w:hint="eastAsia"/>
              </w:rPr>
              <w:t>201</w:t>
            </w:r>
            <w:r>
              <w:t>9</w:t>
            </w:r>
            <w:r>
              <w:rPr>
                <w:rFonts w:hint="eastAsia"/>
              </w:rPr>
              <w:t>年工业用地面积</w:t>
            </w:r>
          </w:p>
        </w:tc>
        <w:tc>
          <w:tcPr>
            <w:tcW w:w="916" w:type="dxa"/>
            <w:vAlign w:val="center"/>
          </w:tcPr>
          <w:p>
            <w:pPr>
              <w:pStyle w:val="36"/>
            </w:pPr>
            <w:r>
              <w:rPr>
                <w:rFonts w:hint="eastAsia"/>
              </w:rPr>
              <w:t>平方公里</w:t>
            </w:r>
          </w:p>
        </w:tc>
        <w:tc>
          <w:tcPr>
            <w:tcW w:w="1417" w:type="dxa"/>
            <w:vAlign w:val="center"/>
          </w:tcPr>
          <w:p>
            <w:pPr>
              <w:pStyle w:val="36"/>
            </w:pPr>
            <w:r>
              <w:rPr>
                <w:rFonts w:hint="eastAsia"/>
              </w:rPr>
              <w:t>-</w:t>
            </w:r>
          </w:p>
        </w:tc>
        <w:tc>
          <w:tcPr>
            <w:tcW w:w="1134" w:type="dxa"/>
            <w:vAlign w:val="center"/>
          </w:tcPr>
          <w:p>
            <w:pPr>
              <w:pStyle w:val="36"/>
            </w:pPr>
            <w:r>
              <w:rPr>
                <w:rFonts w:hint="eastAsia"/>
              </w:rPr>
              <w:t>-</w:t>
            </w:r>
          </w:p>
        </w:tc>
        <w:tc>
          <w:tcPr>
            <w:tcW w:w="1179" w:type="dxa"/>
            <w:vAlign w:val="center"/>
          </w:tcPr>
          <w:p>
            <w:pPr>
              <w:pStyle w:val="36"/>
            </w:pPr>
            <w:r>
              <w:t>19.36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81" w:type="dxa"/>
            <w:vMerge w:val="continue"/>
            <w:vAlign w:val="center"/>
          </w:tcPr>
          <w:p>
            <w:pPr>
              <w:pStyle w:val="36"/>
              <w:rPr>
                <w:highlight w:val="yellow"/>
              </w:rPr>
            </w:pPr>
          </w:p>
        </w:tc>
        <w:tc>
          <w:tcPr>
            <w:tcW w:w="778" w:type="dxa"/>
            <w:vMerge w:val="continue"/>
            <w:vAlign w:val="center"/>
          </w:tcPr>
          <w:p>
            <w:pPr>
              <w:pStyle w:val="36"/>
            </w:pPr>
          </w:p>
        </w:tc>
        <w:tc>
          <w:tcPr>
            <w:tcW w:w="2628" w:type="dxa"/>
            <w:vAlign w:val="center"/>
          </w:tcPr>
          <w:p>
            <w:pPr>
              <w:pStyle w:val="36"/>
            </w:pPr>
            <w:r>
              <w:rPr>
                <w:rFonts w:hint="eastAsia"/>
              </w:rPr>
              <w:t>单位工业用地面积工业增加值三年年均增长率</w:t>
            </w:r>
          </w:p>
        </w:tc>
        <w:tc>
          <w:tcPr>
            <w:tcW w:w="916" w:type="dxa"/>
            <w:vAlign w:val="center"/>
          </w:tcPr>
          <w:p>
            <w:pPr>
              <w:pStyle w:val="36"/>
            </w:pPr>
            <w:r>
              <w:rPr>
                <w:rFonts w:hint="eastAsia"/>
              </w:rPr>
              <w:t>%</w:t>
            </w:r>
          </w:p>
        </w:tc>
        <w:tc>
          <w:tcPr>
            <w:tcW w:w="1417" w:type="dxa"/>
            <w:vAlign w:val="center"/>
          </w:tcPr>
          <w:p>
            <w:pPr>
              <w:pStyle w:val="36"/>
            </w:pPr>
            <w:r>
              <w:rPr>
                <w:rFonts w:hint="eastAsia"/>
              </w:rPr>
              <w:t>≥6</w:t>
            </w:r>
          </w:p>
        </w:tc>
        <w:tc>
          <w:tcPr>
            <w:tcW w:w="1134" w:type="dxa"/>
            <w:vAlign w:val="center"/>
          </w:tcPr>
          <w:p>
            <w:pPr>
              <w:pStyle w:val="36"/>
            </w:pPr>
            <w:r>
              <w:rPr>
                <w:rFonts w:hint="eastAsia"/>
              </w:rPr>
              <w:t>否</w:t>
            </w:r>
          </w:p>
        </w:tc>
        <w:tc>
          <w:tcPr>
            <w:tcW w:w="1179" w:type="dxa"/>
            <w:vAlign w:val="center"/>
          </w:tcPr>
          <w:p>
            <w:pPr>
              <w:pStyle w:val="36"/>
            </w:pPr>
            <w:r>
              <w:t>4.02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81" w:type="dxa"/>
            <w:vMerge w:val="continue"/>
            <w:vAlign w:val="center"/>
          </w:tcPr>
          <w:p>
            <w:pPr>
              <w:pStyle w:val="36"/>
              <w:rPr>
                <w:highlight w:val="yellow"/>
              </w:rPr>
            </w:pPr>
          </w:p>
        </w:tc>
        <w:tc>
          <w:tcPr>
            <w:tcW w:w="778" w:type="dxa"/>
            <w:vMerge w:val="restart"/>
            <w:vAlign w:val="center"/>
          </w:tcPr>
          <w:p>
            <w:pPr>
              <w:pStyle w:val="36"/>
            </w:pPr>
            <w:r>
              <w:rPr>
                <w:rFonts w:hint="eastAsia"/>
              </w:rPr>
              <w:t>10</w:t>
            </w:r>
          </w:p>
        </w:tc>
        <w:tc>
          <w:tcPr>
            <w:tcW w:w="2628" w:type="dxa"/>
            <w:vAlign w:val="center"/>
          </w:tcPr>
          <w:p>
            <w:pPr>
              <w:pStyle w:val="36"/>
            </w:pPr>
            <w:r>
              <w:rPr>
                <w:rFonts w:hint="eastAsia"/>
              </w:rPr>
              <w:t>综合能耗总量</w:t>
            </w:r>
          </w:p>
        </w:tc>
        <w:tc>
          <w:tcPr>
            <w:tcW w:w="916" w:type="dxa"/>
            <w:vAlign w:val="center"/>
          </w:tcPr>
          <w:p>
            <w:pPr>
              <w:pStyle w:val="36"/>
            </w:pPr>
            <w:r>
              <w:rPr>
                <w:rFonts w:hint="eastAsia"/>
              </w:rPr>
              <w:t>吨标煤</w:t>
            </w:r>
          </w:p>
        </w:tc>
        <w:tc>
          <w:tcPr>
            <w:tcW w:w="1417" w:type="dxa"/>
            <w:vAlign w:val="center"/>
          </w:tcPr>
          <w:p>
            <w:pPr>
              <w:pStyle w:val="36"/>
            </w:pPr>
            <w:r>
              <w:rPr>
                <w:rFonts w:hint="eastAsia"/>
              </w:rPr>
              <w:t>-</w:t>
            </w:r>
          </w:p>
        </w:tc>
        <w:tc>
          <w:tcPr>
            <w:tcW w:w="1134" w:type="dxa"/>
            <w:vAlign w:val="center"/>
          </w:tcPr>
          <w:p>
            <w:pPr>
              <w:pStyle w:val="36"/>
            </w:pPr>
            <w:r>
              <w:rPr>
                <w:rFonts w:hint="eastAsia"/>
              </w:rPr>
              <w:t>-</w:t>
            </w:r>
          </w:p>
        </w:tc>
        <w:tc>
          <w:tcPr>
            <w:tcW w:w="1179" w:type="dxa"/>
            <w:vAlign w:val="center"/>
          </w:tcPr>
          <w:p>
            <w:pPr>
              <w:pStyle w:val="36"/>
            </w:pPr>
            <w:r>
              <w:t>637183.3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81" w:type="dxa"/>
            <w:vMerge w:val="continue"/>
            <w:vAlign w:val="center"/>
          </w:tcPr>
          <w:p>
            <w:pPr>
              <w:pStyle w:val="36"/>
              <w:rPr>
                <w:highlight w:val="yellow"/>
              </w:rPr>
            </w:pPr>
          </w:p>
        </w:tc>
        <w:tc>
          <w:tcPr>
            <w:tcW w:w="778" w:type="dxa"/>
            <w:vMerge w:val="continue"/>
            <w:vAlign w:val="center"/>
          </w:tcPr>
          <w:p>
            <w:pPr>
              <w:pStyle w:val="36"/>
            </w:pPr>
          </w:p>
        </w:tc>
        <w:tc>
          <w:tcPr>
            <w:tcW w:w="2628" w:type="dxa"/>
            <w:vAlign w:val="center"/>
          </w:tcPr>
          <w:p>
            <w:pPr>
              <w:pStyle w:val="36"/>
            </w:pPr>
            <w:r>
              <w:rPr>
                <w:rFonts w:hint="eastAsia"/>
              </w:rPr>
              <w:t>规划基准年综合能耗总量</w:t>
            </w:r>
          </w:p>
        </w:tc>
        <w:tc>
          <w:tcPr>
            <w:tcW w:w="916" w:type="dxa"/>
            <w:vAlign w:val="center"/>
          </w:tcPr>
          <w:p>
            <w:pPr>
              <w:pStyle w:val="36"/>
            </w:pPr>
            <w:r>
              <w:rPr>
                <w:rFonts w:hint="eastAsia"/>
              </w:rPr>
              <w:t>吨标煤</w:t>
            </w:r>
          </w:p>
        </w:tc>
        <w:tc>
          <w:tcPr>
            <w:tcW w:w="1417" w:type="dxa"/>
            <w:vAlign w:val="center"/>
          </w:tcPr>
          <w:p>
            <w:pPr>
              <w:pStyle w:val="36"/>
            </w:pPr>
            <w:r>
              <w:rPr>
                <w:rFonts w:hint="eastAsia"/>
              </w:rPr>
              <w:t>-</w:t>
            </w:r>
          </w:p>
        </w:tc>
        <w:tc>
          <w:tcPr>
            <w:tcW w:w="1134" w:type="dxa"/>
            <w:vAlign w:val="center"/>
          </w:tcPr>
          <w:p>
            <w:pPr>
              <w:pStyle w:val="36"/>
            </w:pPr>
            <w:r>
              <w:rPr>
                <w:rFonts w:hint="eastAsia"/>
              </w:rPr>
              <w:t>-</w:t>
            </w:r>
          </w:p>
        </w:tc>
        <w:tc>
          <w:tcPr>
            <w:tcW w:w="1179" w:type="dxa"/>
            <w:vAlign w:val="center"/>
          </w:tcPr>
          <w:p>
            <w:pPr>
              <w:pStyle w:val="36"/>
            </w:pPr>
            <w:r>
              <w:t>3461985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885" w:hRule="atLeast"/>
        </w:trPr>
        <w:tc>
          <w:tcPr>
            <w:tcW w:w="781" w:type="dxa"/>
            <w:vMerge w:val="continue"/>
            <w:vAlign w:val="center"/>
          </w:tcPr>
          <w:p>
            <w:pPr>
              <w:pStyle w:val="36"/>
              <w:rPr>
                <w:highlight w:val="yellow"/>
              </w:rPr>
            </w:pPr>
          </w:p>
        </w:tc>
        <w:tc>
          <w:tcPr>
            <w:tcW w:w="778" w:type="dxa"/>
            <w:vMerge w:val="continue"/>
            <w:vAlign w:val="center"/>
          </w:tcPr>
          <w:p>
            <w:pPr>
              <w:pStyle w:val="36"/>
            </w:pPr>
          </w:p>
        </w:tc>
        <w:tc>
          <w:tcPr>
            <w:tcW w:w="2628" w:type="dxa"/>
            <w:vMerge w:val="restart"/>
            <w:vAlign w:val="center"/>
          </w:tcPr>
          <w:p>
            <w:pPr>
              <w:pStyle w:val="36"/>
            </w:pPr>
            <w:r>
              <w:rPr>
                <w:rFonts w:hint="eastAsia"/>
              </w:rPr>
              <w:t>综合能耗弹性系数</w:t>
            </w:r>
          </w:p>
        </w:tc>
        <w:tc>
          <w:tcPr>
            <w:tcW w:w="916" w:type="dxa"/>
            <w:vMerge w:val="restart"/>
            <w:vAlign w:val="center"/>
          </w:tcPr>
          <w:p>
            <w:pPr>
              <w:pStyle w:val="36"/>
            </w:pPr>
            <w:r>
              <w:rPr>
                <w:rFonts w:hint="eastAsia"/>
              </w:rPr>
              <w:t>—</w:t>
            </w:r>
          </w:p>
        </w:tc>
        <w:tc>
          <w:tcPr>
            <w:tcW w:w="1417" w:type="dxa"/>
            <w:vAlign w:val="center"/>
          </w:tcPr>
          <w:p>
            <w:pPr>
              <w:pStyle w:val="36"/>
            </w:pPr>
            <w:r>
              <w:rPr>
                <w:rFonts w:hint="eastAsia"/>
              </w:rPr>
              <w:t>当园区工业增加值建设期年均增长率&gt;0，≤0.6</w:t>
            </w:r>
          </w:p>
        </w:tc>
        <w:tc>
          <w:tcPr>
            <w:tcW w:w="1134" w:type="dxa"/>
            <w:vMerge w:val="restart"/>
            <w:vAlign w:val="center"/>
          </w:tcPr>
          <w:p>
            <w:pPr>
              <w:pStyle w:val="36"/>
            </w:pPr>
            <w:r>
              <w:rPr>
                <w:rFonts w:hint="eastAsia"/>
              </w:rPr>
              <w:t>必选</w:t>
            </w:r>
          </w:p>
        </w:tc>
        <w:tc>
          <w:tcPr>
            <w:tcW w:w="1179" w:type="dxa"/>
            <w:vMerge w:val="restart"/>
            <w:vAlign w:val="center"/>
          </w:tcPr>
          <w:p>
            <w:pPr>
              <w:pStyle w:val="36"/>
            </w:pPr>
            <w:r>
              <w:rPr>
                <w:rFonts w:hint="eastAsia"/>
              </w:rPr>
              <w:t>-0.</w:t>
            </w:r>
            <w:r>
              <w:t>4.85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781" w:type="dxa"/>
            <w:vMerge w:val="continue"/>
            <w:vAlign w:val="center"/>
          </w:tcPr>
          <w:p>
            <w:pPr>
              <w:pStyle w:val="36"/>
              <w:rPr>
                <w:highlight w:val="yellow"/>
              </w:rPr>
            </w:pPr>
          </w:p>
        </w:tc>
        <w:tc>
          <w:tcPr>
            <w:tcW w:w="778" w:type="dxa"/>
            <w:vMerge w:val="continue"/>
            <w:vAlign w:val="center"/>
          </w:tcPr>
          <w:p>
            <w:pPr>
              <w:pStyle w:val="36"/>
              <w:rPr>
                <w:highlight w:val="yellow"/>
              </w:rPr>
            </w:pPr>
          </w:p>
        </w:tc>
        <w:tc>
          <w:tcPr>
            <w:tcW w:w="2628" w:type="dxa"/>
            <w:vMerge w:val="continue"/>
            <w:vAlign w:val="center"/>
          </w:tcPr>
          <w:p>
            <w:pPr>
              <w:pStyle w:val="36"/>
              <w:rPr>
                <w:highlight w:val="yellow"/>
              </w:rPr>
            </w:pPr>
          </w:p>
        </w:tc>
        <w:tc>
          <w:tcPr>
            <w:tcW w:w="916" w:type="dxa"/>
            <w:vMerge w:val="continue"/>
            <w:vAlign w:val="center"/>
          </w:tcPr>
          <w:p>
            <w:pPr>
              <w:pStyle w:val="36"/>
              <w:rPr>
                <w:highlight w:val="yellow"/>
              </w:rPr>
            </w:pPr>
          </w:p>
        </w:tc>
        <w:tc>
          <w:tcPr>
            <w:tcW w:w="1417" w:type="dxa"/>
            <w:vAlign w:val="center"/>
          </w:tcPr>
          <w:p>
            <w:pPr>
              <w:pStyle w:val="36"/>
            </w:pPr>
            <w:r>
              <w:rPr>
                <w:rFonts w:hint="eastAsia"/>
              </w:rPr>
              <w:t>当园区工业增加值建设期年均增长率&lt;0，≥0.6</w:t>
            </w:r>
          </w:p>
        </w:tc>
        <w:tc>
          <w:tcPr>
            <w:tcW w:w="1134" w:type="dxa"/>
            <w:vMerge w:val="continue"/>
            <w:vAlign w:val="center"/>
          </w:tcPr>
          <w:p>
            <w:pPr>
              <w:pStyle w:val="36"/>
            </w:pPr>
          </w:p>
        </w:tc>
        <w:tc>
          <w:tcPr>
            <w:tcW w:w="1179" w:type="dxa"/>
            <w:vMerge w:val="continue"/>
            <w:vAlign w:val="center"/>
          </w:tcPr>
          <w:p>
            <w:pPr>
              <w:pStyle w:val="36"/>
              <w:rPr>
                <w:highlight w:val="yellow"/>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81" w:type="dxa"/>
            <w:vMerge w:val="continue"/>
            <w:vAlign w:val="center"/>
          </w:tcPr>
          <w:p>
            <w:pPr>
              <w:pStyle w:val="36"/>
              <w:rPr>
                <w:highlight w:val="yellow"/>
              </w:rPr>
            </w:pPr>
          </w:p>
        </w:tc>
        <w:tc>
          <w:tcPr>
            <w:tcW w:w="778" w:type="dxa"/>
            <w:vAlign w:val="center"/>
          </w:tcPr>
          <w:p>
            <w:pPr>
              <w:pStyle w:val="36"/>
            </w:pPr>
            <w:r>
              <w:rPr>
                <w:rFonts w:hint="eastAsia"/>
              </w:rPr>
              <w:t>11</w:t>
            </w:r>
          </w:p>
        </w:tc>
        <w:tc>
          <w:tcPr>
            <w:tcW w:w="2628" w:type="dxa"/>
            <w:vAlign w:val="center"/>
          </w:tcPr>
          <w:p>
            <w:pPr>
              <w:pStyle w:val="36"/>
            </w:pPr>
            <w:r>
              <w:rPr>
                <w:rFonts w:hint="eastAsia"/>
              </w:rPr>
              <w:t>单位工业增加值综合能耗a</w:t>
            </w:r>
          </w:p>
        </w:tc>
        <w:tc>
          <w:tcPr>
            <w:tcW w:w="916" w:type="dxa"/>
            <w:vAlign w:val="center"/>
          </w:tcPr>
          <w:p>
            <w:pPr>
              <w:pStyle w:val="36"/>
            </w:pPr>
            <w:r>
              <w:rPr>
                <w:rFonts w:hint="eastAsia"/>
              </w:rPr>
              <w:t>吨标煤/万元</w:t>
            </w:r>
          </w:p>
        </w:tc>
        <w:tc>
          <w:tcPr>
            <w:tcW w:w="1417" w:type="dxa"/>
            <w:vAlign w:val="center"/>
          </w:tcPr>
          <w:p>
            <w:pPr>
              <w:pStyle w:val="36"/>
            </w:pPr>
            <w:r>
              <w:rPr>
                <w:rFonts w:hint="eastAsia"/>
              </w:rPr>
              <w:t>≤0.5</w:t>
            </w:r>
          </w:p>
        </w:tc>
        <w:tc>
          <w:tcPr>
            <w:tcW w:w="1134" w:type="dxa"/>
            <w:vAlign w:val="center"/>
          </w:tcPr>
          <w:p>
            <w:pPr>
              <w:pStyle w:val="36"/>
            </w:pPr>
            <w:r>
              <w:rPr>
                <w:rFonts w:hint="eastAsia"/>
              </w:rPr>
              <w:t>是</w:t>
            </w:r>
          </w:p>
        </w:tc>
        <w:tc>
          <w:tcPr>
            <w:tcW w:w="1179" w:type="dxa"/>
            <w:vAlign w:val="center"/>
          </w:tcPr>
          <w:p>
            <w:pPr>
              <w:pStyle w:val="36"/>
            </w:pPr>
            <w:r>
              <w:t>0.25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81" w:type="dxa"/>
            <w:vMerge w:val="continue"/>
            <w:vAlign w:val="center"/>
          </w:tcPr>
          <w:p>
            <w:pPr>
              <w:pStyle w:val="36"/>
              <w:rPr>
                <w:highlight w:val="yellow"/>
              </w:rPr>
            </w:pPr>
          </w:p>
        </w:tc>
        <w:tc>
          <w:tcPr>
            <w:tcW w:w="778" w:type="dxa"/>
            <w:vMerge w:val="restart"/>
            <w:vAlign w:val="center"/>
          </w:tcPr>
          <w:p>
            <w:pPr>
              <w:pStyle w:val="36"/>
            </w:pPr>
            <w:r>
              <w:rPr>
                <w:rFonts w:hint="eastAsia"/>
              </w:rPr>
              <w:t>12</w:t>
            </w:r>
          </w:p>
        </w:tc>
        <w:tc>
          <w:tcPr>
            <w:tcW w:w="2628" w:type="dxa"/>
            <w:vAlign w:val="center"/>
          </w:tcPr>
          <w:p>
            <w:pPr>
              <w:pStyle w:val="36"/>
              <w:rPr>
                <w:highlight w:val="yellow"/>
              </w:rPr>
            </w:pPr>
            <w:r>
              <w:rPr>
                <w:rFonts w:hint="eastAsia"/>
              </w:rPr>
              <w:t>可再生能源使用量</w:t>
            </w:r>
          </w:p>
        </w:tc>
        <w:tc>
          <w:tcPr>
            <w:tcW w:w="916" w:type="dxa"/>
            <w:vAlign w:val="center"/>
          </w:tcPr>
          <w:p>
            <w:pPr>
              <w:pStyle w:val="36"/>
            </w:pPr>
            <w:r>
              <w:rPr>
                <w:rFonts w:hint="eastAsia"/>
              </w:rPr>
              <w:t>吨标煤</w:t>
            </w:r>
          </w:p>
        </w:tc>
        <w:tc>
          <w:tcPr>
            <w:tcW w:w="1417" w:type="dxa"/>
            <w:vAlign w:val="center"/>
          </w:tcPr>
          <w:p>
            <w:pPr>
              <w:pStyle w:val="36"/>
            </w:pPr>
            <w:r>
              <w:rPr>
                <w:rFonts w:hint="eastAsia"/>
              </w:rPr>
              <w:t>-</w:t>
            </w:r>
          </w:p>
        </w:tc>
        <w:tc>
          <w:tcPr>
            <w:tcW w:w="1134" w:type="dxa"/>
            <w:vAlign w:val="center"/>
          </w:tcPr>
          <w:p>
            <w:pPr>
              <w:pStyle w:val="36"/>
            </w:pPr>
            <w:r>
              <w:rPr>
                <w:rFonts w:hint="eastAsia"/>
              </w:rPr>
              <w:t>-</w:t>
            </w:r>
          </w:p>
        </w:tc>
        <w:tc>
          <w:tcPr>
            <w:tcW w:w="1179" w:type="dxa"/>
            <w:vAlign w:val="center"/>
          </w:tcPr>
          <w:p>
            <w:pPr>
              <w:pStyle w:val="36"/>
            </w:pPr>
            <w:r>
              <w:rPr>
                <w:rFonts w:hint="eastAsia"/>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81" w:type="dxa"/>
            <w:vMerge w:val="continue"/>
            <w:vAlign w:val="center"/>
          </w:tcPr>
          <w:p>
            <w:pPr>
              <w:pStyle w:val="36"/>
              <w:rPr>
                <w:highlight w:val="yellow"/>
              </w:rPr>
            </w:pPr>
          </w:p>
        </w:tc>
        <w:tc>
          <w:tcPr>
            <w:tcW w:w="778" w:type="dxa"/>
            <w:vMerge w:val="continue"/>
            <w:vAlign w:val="center"/>
          </w:tcPr>
          <w:p>
            <w:pPr>
              <w:pStyle w:val="36"/>
            </w:pPr>
          </w:p>
        </w:tc>
        <w:tc>
          <w:tcPr>
            <w:tcW w:w="2628" w:type="dxa"/>
            <w:vAlign w:val="center"/>
          </w:tcPr>
          <w:p>
            <w:pPr>
              <w:pStyle w:val="36"/>
              <w:rPr>
                <w:highlight w:val="yellow"/>
              </w:rPr>
            </w:pPr>
            <w:r>
              <w:rPr>
                <w:rFonts w:hint="eastAsia"/>
              </w:rPr>
              <w:t>可再生能源使用比例</w:t>
            </w:r>
          </w:p>
        </w:tc>
        <w:tc>
          <w:tcPr>
            <w:tcW w:w="916" w:type="dxa"/>
            <w:vAlign w:val="center"/>
          </w:tcPr>
          <w:p>
            <w:pPr>
              <w:pStyle w:val="36"/>
            </w:pPr>
            <w:r>
              <w:rPr>
                <w:rFonts w:hint="eastAsia"/>
              </w:rPr>
              <w:t>%</w:t>
            </w:r>
          </w:p>
        </w:tc>
        <w:tc>
          <w:tcPr>
            <w:tcW w:w="1417" w:type="dxa"/>
            <w:vAlign w:val="center"/>
          </w:tcPr>
          <w:p>
            <w:pPr>
              <w:pStyle w:val="36"/>
            </w:pPr>
            <w:r>
              <w:rPr>
                <w:rFonts w:hint="eastAsia"/>
              </w:rPr>
              <w:t>≥9</w:t>
            </w:r>
          </w:p>
        </w:tc>
        <w:tc>
          <w:tcPr>
            <w:tcW w:w="1134" w:type="dxa"/>
            <w:vAlign w:val="center"/>
          </w:tcPr>
          <w:p>
            <w:pPr>
              <w:pStyle w:val="36"/>
            </w:pPr>
            <w:r>
              <w:rPr>
                <w:rFonts w:hint="eastAsia"/>
              </w:rPr>
              <w:t>否</w:t>
            </w:r>
          </w:p>
        </w:tc>
        <w:tc>
          <w:tcPr>
            <w:tcW w:w="1179" w:type="dxa"/>
            <w:vAlign w:val="center"/>
          </w:tcPr>
          <w:p>
            <w:pPr>
              <w:pStyle w:val="36"/>
            </w:pPr>
            <w:r>
              <w:rPr>
                <w:rFonts w:hint="eastAsia"/>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81" w:type="dxa"/>
            <w:vMerge w:val="continue"/>
            <w:vAlign w:val="center"/>
          </w:tcPr>
          <w:p>
            <w:pPr>
              <w:pStyle w:val="36"/>
              <w:rPr>
                <w:highlight w:val="yellow"/>
              </w:rPr>
            </w:pPr>
          </w:p>
        </w:tc>
        <w:tc>
          <w:tcPr>
            <w:tcW w:w="778" w:type="dxa"/>
            <w:vMerge w:val="restart"/>
            <w:vAlign w:val="center"/>
          </w:tcPr>
          <w:p>
            <w:pPr>
              <w:pStyle w:val="36"/>
            </w:pPr>
            <w:r>
              <w:rPr>
                <w:rFonts w:hint="eastAsia"/>
              </w:rPr>
              <w:t>13</w:t>
            </w:r>
          </w:p>
        </w:tc>
        <w:tc>
          <w:tcPr>
            <w:tcW w:w="2628" w:type="dxa"/>
            <w:vAlign w:val="center"/>
          </w:tcPr>
          <w:p>
            <w:pPr>
              <w:pStyle w:val="36"/>
            </w:pPr>
            <w:r>
              <w:rPr>
                <w:rFonts w:hint="eastAsia"/>
              </w:rPr>
              <w:t>新鲜水资源消耗量</w:t>
            </w:r>
          </w:p>
        </w:tc>
        <w:tc>
          <w:tcPr>
            <w:tcW w:w="916" w:type="dxa"/>
            <w:vAlign w:val="center"/>
          </w:tcPr>
          <w:p>
            <w:pPr>
              <w:pStyle w:val="36"/>
            </w:pPr>
            <w:r>
              <w:rPr>
                <w:rFonts w:hint="eastAsia"/>
              </w:rPr>
              <w:t>万立方米</w:t>
            </w:r>
          </w:p>
        </w:tc>
        <w:tc>
          <w:tcPr>
            <w:tcW w:w="1417" w:type="dxa"/>
            <w:vAlign w:val="center"/>
          </w:tcPr>
          <w:p>
            <w:pPr>
              <w:pStyle w:val="36"/>
            </w:pPr>
            <w:r>
              <w:rPr>
                <w:rFonts w:hint="eastAsia"/>
              </w:rPr>
              <w:t>-</w:t>
            </w:r>
          </w:p>
        </w:tc>
        <w:tc>
          <w:tcPr>
            <w:tcW w:w="1134" w:type="dxa"/>
            <w:vAlign w:val="center"/>
          </w:tcPr>
          <w:p>
            <w:pPr>
              <w:pStyle w:val="36"/>
            </w:pPr>
            <w:r>
              <w:rPr>
                <w:rFonts w:hint="eastAsia"/>
              </w:rPr>
              <w:t>-</w:t>
            </w:r>
          </w:p>
        </w:tc>
        <w:tc>
          <w:tcPr>
            <w:tcW w:w="1179" w:type="dxa"/>
            <w:vAlign w:val="center"/>
          </w:tcPr>
          <w:p>
            <w:pPr>
              <w:pStyle w:val="36"/>
            </w:pPr>
            <w:r>
              <w:t>488</w:t>
            </w:r>
            <w:r>
              <w:rPr>
                <w:rFonts w:hint="eastAsia"/>
              </w:rPr>
              <w:t>.</w:t>
            </w:r>
            <w:r>
              <w:t>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81" w:type="dxa"/>
            <w:vMerge w:val="continue"/>
            <w:vAlign w:val="center"/>
          </w:tcPr>
          <w:p>
            <w:pPr>
              <w:pStyle w:val="36"/>
              <w:rPr>
                <w:highlight w:val="yellow"/>
              </w:rPr>
            </w:pPr>
          </w:p>
        </w:tc>
        <w:tc>
          <w:tcPr>
            <w:tcW w:w="778" w:type="dxa"/>
            <w:vMerge w:val="continue"/>
            <w:vAlign w:val="center"/>
          </w:tcPr>
          <w:p>
            <w:pPr>
              <w:pStyle w:val="36"/>
            </w:pPr>
          </w:p>
        </w:tc>
        <w:tc>
          <w:tcPr>
            <w:tcW w:w="2628" w:type="dxa"/>
            <w:vAlign w:val="center"/>
          </w:tcPr>
          <w:p>
            <w:pPr>
              <w:pStyle w:val="36"/>
            </w:pPr>
            <w:r>
              <w:rPr>
                <w:rFonts w:hint="eastAsia"/>
              </w:rPr>
              <w:t>规划基准年新鲜水资源消耗量</w:t>
            </w:r>
          </w:p>
        </w:tc>
        <w:tc>
          <w:tcPr>
            <w:tcW w:w="916" w:type="dxa"/>
            <w:vAlign w:val="center"/>
          </w:tcPr>
          <w:p>
            <w:pPr>
              <w:pStyle w:val="36"/>
            </w:pPr>
            <w:r>
              <w:rPr>
                <w:rFonts w:hint="eastAsia"/>
              </w:rPr>
              <w:t>万立方米</w:t>
            </w:r>
          </w:p>
        </w:tc>
        <w:tc>
          <w:tcPr>
            <w:tcW w:w="1417" w:type="dxa"/>
            <w:vAlign w:val="center"/>
          </w:tcPr>
          <w:p>
            <w:pPr>
              <w:pStyle w:val="36"/>
            </w:pPr>
            <w:r>
              <w:rPr>
                <w:rFonts w:hint="eastAsia"/>
              </w:rPr>
              <w:t>-</w:t>
            </w:r>
          </w:p>
        </w:tc>
        <w:tc>
          <w:tcPr>
            <w:tcW w:w="1134" w:type="dxa"/>
            <w:vAlign w:val="center"/>
          </w:tcPr>
          <w:p>
            <w:pPr>
              <w:pStyle w:val="36"/>
            </w:pPr>
            <w:r>
              <w:rPr>
                <w:rFonts w:hint="eastAsia"/>
              </w:rPr>
              <w:t>-</w:t>
            </w:r>
          </w:p>
        </w:tc>
        <w:tc>
          <w:tcPr>
            <w:tcW w:w="1179" w:type="dxa"/>
            <w:vAlign w:val="center"/>
          </w:tcPr>
          <w:p>
            <w:pPr>
              <w:pStyle w:val="36"/>
            </w:pPr>
            <w:r>
              <w:rPr>
                <w:rFonts w:hint="eastAsia"/>
              </w:rPr>
              <w:t>1</w:t>
            </w:r>
            <w:r>
              <w:t>350</w:t>
            </w:r>
            <w:r>
              <w:rPr>
                <w:rFonts w:hint="eastAsia"/>
              </w:rPr>
              <w:t>.</w:t>
            </w:r>
            <w:r>
              <w:t>55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781" w:type="dxa"/>
            <w:vMerge w:val="continue"/>
            <w:vAlign w:val="center"/>
          </w:tcPr>
          <w:p>
            <w:pPr>
              <w:pStyle w:val="36"/>
              <w:rPr>
                <w:highlight w:val="yellow"/>
              </w:rPr>
            </w:pPr>
          </w:p>
        </w:tc>
        <w:tc>
          <w:tcPr>
            <w:tcW w:w="778" w:type="dxa"/>
            <w:vMerge w:val="continue"/>
            <w:vAlign w:val="center"/>
          </w:tcPr>
          <w:p>
            <w:pPr>
              <w:pStyle w:val="36"/>
            </w:pPr>
          </w:p>
        </w:tc>
        <w:tc>
          <w:tcPr>
            <w:tcW w:w="2628" w:type="dxa"/>
            <w:vMerge w:val="restart"/>
            <w:vAlign w:val="center"/>
          </w:tcPr>
          <w:p>
            <w:pPr>
              <w:pStyle w:val="36"/>
            </w:pPr>
            <w:r>
              <w:rPr>
                <w:rFonts w:hint="eastAsia"/>
              </w:rPr>
              <w:t>新鲜水耗弹性系数</w:t>
            </w:r>
          </w:p>
        </w:tc>
        <w:tc>
          <w:tcPr>
            <w:tcW w:w="916" w:type="dxa"/>
            <w:vMerge w:val="restart"/>
            <w:vAlign w:val="center"/>
          </w:tcPr>
          <w:p>
            <w:pPr>
              <w:pStyle w:val="36"/>
            </w:pPr>
            <w:r>
              <w:rPr>
                <w:rFonts w:hint="eastAsia"/>
              </w:rPr>
              <w:t>—</w:t>
            </w:r>
          </w:p>
        </w:tc>
        <w:tc>
          <w:tcPr>
            <w:tcW w:w="1417" w:type="dxa"/>
            <w:vAlign w:val="center"/>
          </w:tcPr>
          <w:p>
            <w:pPr>
              <w:pStyle w:val="36"/>
            </w:pPr>
            <w:r>
              <w:rPr>
                <w:rFonts w:hint="eastAsia"/>
              </w:rPr>
              <w:t>当园区工业增加值建设期年均增长率&gt;0，≤0.55</w:t>
            </w:r>
          </w:p>
        </w:tc>
        <w:tc>
          <w:tcPr>
            <w:tcW w:w="1134" w:type="dxa"/>
            <w:vMerge w:val="restart"/>
            <w:vAlign w:val="center"/>
          </w:tcPr>
          <w:p>
            <w:pPr>
              <w:pStyle w:val="36"/>
            </w:pPr>
            <w:r>
              <w:rPr>
                <w:rFonts w:hint="eastAsia"/>
              </w:rPr>
              <w:t>必选</w:t>
            </w:r>
          </w:p>
        </w:tc>
        <w:tc>
          <w:tcPr>
            <w:tcW w:w="1179" w:type="dxa"/>
            <w:vMerge w:val="restart"/>
            <w:vAlign w:val="center"/>
          </w:tcPr>
          <w:p>
            <w:pPr>
              <w:pStyle w:val="36"/>
            </w:pPr>
            <w:r>
              <w:rPr>
                <w:rFonts w:hint="eastAsia"/>
              </w:rPr>
              <w:t>-</w:t>
            </w:r>
            <w:r>
              <w:t>3.00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81" w:type="dxa"/>
            <w:vMerge w:val="continue"/>
            <w:vAlign w:val="center"/>
          </w:tcPr>
          <w:p>
            <w:pPr>
              <w:pStyle w:val="36"/>
              <w:rPr>
                <w:highlight w:val="yellow"/>
              </w:rPr>
            </w:pPr>
          </w:p>
        </w:tc>
        <w:tc>
          <w:tcPr>
            <w:tcW w:w="778" w:type="dxa"/>
            <w:vMerge w:val="continue"/>
            <w:vAlign w:val="center"/>
          </w:tcPr>
          <w:p>
            <w:pPr>
              <w:pStyle w:val="36"/>
              <w:rPr>
                <w:highlight w:val="yellow"/>
              </w:rPr>
            </w:pPr>
          </w:p>
        </w:tc>
        <w:tc>
          <w:tcPr>
            <w:tcW w:w="2628" w:type="dxa"/>
            <w:vMerge w:val="continue"/>
            <w:vAlign w:val="center"/>
          </w:tcPr>
          <w:p>
            <w:pPr>
              <w:pStyle w:val="36"/>
              <w:rPr>
                <w:highlight w:val="yellow"/>
              </w:rPr>
            </w:pPr>
          </w:p>
        </w:tc>
        <w:tc>
          <w:tcPr>
            <w:tcW w:w="916" w:type="dxa"/>
            <w:vMerge w:val="continue"/>
            <w:vAlign w:val="center"/>
          </w:tcPr>
          <w:p>
            <w:pPr>
              <w:pStyle w:val="36"/>
              <w:rPr>
                <w:highlight w:val="yellow"/>
              </w:rPr>
            </w:pPr>
          </w:p>
        </w:tc>
        <w:tc>
          <w:tcPr>
            <w:tcW w:w="1417" w:type="dxa"/>
            <w:vAlign w:val="center"/>
          </w:tcPr>
          <w:p>
            <w:pPr>
              <w:pStyle w:val="36"/>
              <w:rPr>
                <w:highlight w:val="yellow"/>
              </w:rPr>
            </w:pPr>
            <w:r>
              <w:rPr>
                <w:rFonts w:hint="eastAsia"/>
              </w:rPr>
              <w:t>当园区工业增加值建设期年均增长率&lt;0，≥0.55</w:t>
            </w:r>
          </w:p>
        </w:tc>
        <w:tc>
          <w:tcPr>
            <w:tcW w:w="1134" w:type="dxa"/>
            <w:vMerge w:val="continue"/>
            <w:vAlign w:val="center"/>
          </w:tcPr>
          <w:p>
            <w:pPr>
              <w:pStyle w:val="36"/>
              <w:rPr>
                <w:highlight w:val="yellow"/>
              </w:rPr>
            </w:pPr>
          </w:p>
        </w:tc>
        <w:tc>
          <w:tcPr>
            <w:tcW w:w="1179" w:type="dxa"/>
            <w:vMerge w:val="continue"/>
            <w:vAlign w:val="center"/>
          </w:tcPr>
          <w:p>
            <w:pPr>
              <w:pStyle w:val="36"/>
              <w:rPr>
                <w:highlight w:val="yellow"/>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781" w:type="dxa"/>
            <w:vMerge w:val="continue"/>
            <w:vAlign w:val="center"/>
          </w:tcPr>
          <w:p>
            <w:pPr>
              <w:pStyle w:val="36"/>
              <w:rPr>
                <w:highlight w:val="yellow"/>
              </w:rPr>
            </w:pPr>
          </w:p>
        </w:tc>
        <w:tc>
          <w:tcPr>
            <w:tcW w:w="778" w:type="dxa"/>
            <w:vAlign w:val="center"/>
          </w:tcPr>
          <w:p>
            <w:pPr>
              <w:pStyle w:val="36"/>
            </w:pPr>
            <w:r>
              <w:rPr>
                <w:rFonts w:hint="eastAsia"/>
              </w:rPr>
              <w:t>14</w:t>
            </w:r>
          </w:p>
        </w:tc>
        <w:tc>
          <w:tcPr>
            <w:tcW w:w="2628" w:type="dxa"/>
            <w:vAlign w:val="center"/>
          </w:tcPr>
          <w:p>
            <w:pPr>
              <w:pStyle w:val="36"/>
            </w:pPr>
            <w:r>
              <w:rPr>
                <w:rFonts w:hint="eastAsia"/>
              </w:rPr>
              <w:t>单位工业增加值新鲜水耗a</w:t>
            </w:r>
          </w:p>
        </w:tc>
        <w:tc>
          <w:tcPr>
            <w:tcW w:w="916" w:type="dxa"/>
            <w:vAlign w:val="center"/>
          </w:tcPr>
          <w:p>
            <w:pPr>
              <w:pStyle w:val="36"/>
            </w:pPr>
            <w:r>
              <w:rPr>
                <w:rFonts w:hint="eastAsia"/>
              </w:rPr>
              <w:t>立方米/万元</w:t>
            </w:r>
          </w:p>
        </w:tc>
        <w:tc>
          <w:tcPr>
            <w:tcW w:w="1417" w:type="dxa"/>
            <w:vAlign w:val="center"/>
          </w:tcPr>
          <w:p>
            <w:pPr>
              <w:pStyle w:val="36"/>
            </w:pPr>
            <w:r>
              <w:rPr>
                <w:rFonts w:hint="eastAsia"/>
              </w:rPr>
              <w:t>≤8</w:t>
            </w:r>
          </w:p>
        </w:tc>
        <w:tc>
          <w:tcPr>
            <w:tcW w:w="1134" w:type="dxa"/>
            <w:vAlign w:val="center"/>
          </w:tcPr>
          <w:p>
            <w:pPr>
              <w:pStyle w:val="36"/>
            </w:pPr>
            <w:r>
              <w:rPr>
                <w:rFonts w:hint="eastAsia"/>
              </w:rPr>
              <w:t>是</w:t>
            </w:r>
          </w:p>
        </w:tc>
        <w:tc>
          <w:tcPr>
            <w:tcW w:w="1179" w:type="dxa"/>
            <w:vAlign w:val="center"/>
          </w:tcPr>
          <w:p>
            <w:pPr>
              <w:pStyle w:val="36"/>
            </w:pPr>
            <w:r>
              <w:t>1.88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81" w:type="dxa"/>
            <w:vMerge w:val="continue"/>
            <w:vAlign w:val="center"/>
          </w:tcPr>
          <w:p>
            <w:pPr>
              <w:pStyle w:val="36"/>
              <w:rPr>
                <w:highlight w:val="yellow"/>
              </w:rPr>
            </w:pPr>
          </w:p>
        </w:tc>
        <w:tc>
          <w:tcPr>
            <w:tcW w:w="778" w:type="dxa"/>
            <w:vMerge w:val="restart"/>
            <w:vAlign w:val="center"/>
          </w:tcPr>
          <w:p>
            <w:pPr>
              <w:pStyle w:val="36"/>
            </w:pPr>
            <w:r>
              <w:rPr>
                <w:rFonts w:hint="eastAsia"/>
              </w:rPr>
              <w:t>15</w:t>
            </w:r>
          </w:p>
        </w:tc>
        <w:tc>
          <w:tcPr>
            <w:tcW w:w="2628" w:type="dxa"/>
            <w:vAlign w:val="center"/>
          </w:tcPr>
          <w:p>
            <w:pPr>
              <w:pStyle w:val="36"/>
              <w:rPr>
                <w:highlight w:val="yellow"/>
              </w:rPr>
            </w:pPr>
            <w:r>
              <w:rPr>
                <w:rFonts w:hint="eastAsia"/>
              </w:rPr>
              <w:t>工业重复用水量</w:t>
            </w:r>
          </w:p>
        </w:tc>
        <w:tc>
          <w:tcPr>
            <w:tcW w:w="916" w:type="dxa"/>
            <w:vAlign w:val="center"/>
          </w:tcPr>
          <w:p>
            <w:pPr>
              <w:pStyle w:val="36"/>
            </w:pPr>
            <w:r>
              <w:rPr>
                <w:rFonts w:hint="eastAsia"/>
              </w:rPr>
              <w:t>立方米</w:t>
            </w:r>
          </w:p>
        </w:tc>
        <w:tc>
          <w:tcPr>
            <w:tcW w:w="1417" w:type="dxa"/>
            <w:vAlign w:val="center"/>
          </w:tcPr>
          <w:p>
            <w:pPr>
              <w:pStyle w:val="36"/>
            </w:pPr>
            <w:r>
              <w:rPr>
                <w:rFonts w:hint="eastAsia"/>
              </w:rPr>
              <w:t>-</w:t>
            </w:r>
          </w:p>
        </w:tc>
        <w:tc>
          <w:tcPr>
            <w:tcW w:w="1134" w:type="dxa"/>
            <w:vAlign w:val="center"/>
          </w:tcPr>
          <w:p>
            <w:pPr>
              <w:pStyle w:val="36"/>
            </w:pPr>
            <w:r>
              <w:rPr>
                <w:rFonts w:hint="eastAsia"/>
              </w:rPr>
              <w:t>-</w:t>
            </w:r>
          </w:p>
        </w:tc>
        <w:tc>
          <w:tcPr>
            <w:tcW w:w="1179" w:type="dxa"/>
            <w:vAlign w:val="center"/>
          </w:tcPr>
          <w:p>
            <w:pPr>
              <w:pStyle w:val="36"/>
            </w:pPr>
            <w:r>
              <w:rPr>
                <w:rFonts w:hint="eastAsia"/>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81" w:type="dxa"/>
            <w:vMerge w:val="continue"/>
            <w:vAlign w:val="center"/>
          </w:tcPr>
          <w:p>
            <w:pPr>
              <w:pStyle w:val="36"/>
              <w:rPr>
                <w:highlight w:val="yellow"/>
              </w:rPr>
            </w:pPr>
          </w:p>
        </w:tc>
        <w:tc>
          <w:tcPr>
            <w:tcW w:w="778" w:type="dxa"/>
            <w:vMerge w:val="continue"/>
            <w:vAlign w:val="center"/>
          </w:tcPr>
          <w:p>
            <w:pPr>
              <w:pStyle w:val="36"/>
            </w:pPr>
          </w:p>
        </w:tc>
        <w:tc>
          <w:tcPr>
            <w:tcW w:w="2628" w:type="dxa"/>
            <w:vAlign w:val="center"/>
          </w:tcPr>
          <w:p>
            <w:pPr>
              <w:pStyle w:val="36"/>
              <w:rPr>
                <w:highlight w:val="yellow"/>
              </w:rPr>
            </w:pPr>
            <w:r>
              <w:rPr>
                <w:rFonts w:hint="eastAsia"/>
              </w:rPr>
              <w:t>工业用水重复利用率</w:t>
            </w:r>
          </w:p>
        </w:tc>
        <w:tc>
          <w:tcPr>
            <w:tcW w:w="916" w:type="dxa"/>
            <w:vAlign w:val="center"/>
          </w:tcPr>
          <w:p>
            <w:pPr>
              <w:pStyle w:val="36"/>
            </w:pPr>
            <w:r>
              <w:rPr>
                <w:rFonts w:hint="eastAsia"/>
              </w:rPr>
              <w:t>%</w:t>
            </w:r>
          </w:p>
        </w:tc>
        <w:tc>
          <w:tcPr>
            <w:tcW w:w="1417" w:type="dxa"/>
            <w:vAlign w:val="center"/>
          </w:tcPr>
          <w:p>
            <w:pPr>
              <w:pStyle w:val="36"/>
            </w:pPr>
            <w:r>
              <w:rPr>
                <w:rFonts w:hint="eastAsia"/>
              </w:rPr>
              <w:t>≥75</w:t>
            </w:r>
          </w:p>
        </w:tc>
        <w:tc>
          <w:tcPr>
            <w:tcW w:w="1134" w:type="dxa"/>
            <w:vAlign w:val="center"/>
          </w:tcPr>
          <w:p>
            <w:pPr>
              <w:pStyle w:val="36"/>
            </w:pPr>
            <w:r>
              <w:rPr>
                <w:rFonts w:hint="eastAsia"/>
              </w:rPr>
              <w:t>否</w:t>
            </w:r>
          </w:p>
        </w:tc>
        <w:tc>
          <w:tcPr>
            <w:tcW w:w="1179" w:type="dxa"/>
            <w:vAlign w:val="center"/>
          </w:tcPr>
          <w:p>
            <w:pPr>
              <w:pStyle w:val="36"/>
            </w:pPr>
            <w:r>
              <w:rPr>
                <w:rFonts w:hint="eastAsia"/>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81" w:type="dxa"/>
            <w:vMerge w:val="continue"/>
            <w:vAlign w:val="center"/>
          </w:tcPr>
          <w:p>
            <w:pPr>
              <w:pStyle w:val="36"/>
              <w:rPr>
                <w:highlight w:val="yellow"/>
              </w:rPr>
            </w:pPr>
          </w:p>
        </w:tc>
        <w:tc>
          <w:tcPr>
            <w:tcW w:w="778" w:type="dxa"/>
            <w:vMerge w:val="restart"/>
            <w:vAlign w:val="center"/>
          </w:tcPr>
          <w:p>
            <w:pPr>
              <w:pStyle w:val="36"/>
            </w:pPr>
            <w:r>
              <w:rPr>
                <w:rFonts w:hint="eastAsia"/>
              </w:rPr>
              <w:t>16</w:t>
            </w:r>
          </w:p>
        </w:tc>
        <w:tc>
          <w:tcPr>
            <w:tcW w:w="2628" w:type="dxa"/>
            <w:vAlign w:val="center"/>
          </w:tcPr>
          <w:p>
            <w:pPr>
              <w:pStyle w:val="36"/>
            </w:pPr>
            <w:r>
              <w:rPr>
                <w:rFonts w:hint="eastAsia"/>
              </w:rPr>
              <w:t>园区再生水（中水）回用量</w:t>
            </w:r>
          </w:p>
        </w:tc>
        <w:tc>
          <w:tcPr>
            <w:tcW w:w="916" w:type="dxa"/>
            <w:vAlign w:val="center"/>
          </w:tcPr>
          <w:p>
            <w:pPr>
              <w:pStyle w:val="36"/>
            </w:pPr>
            <w:r>
              <w:rPr>
                <w:rFonts w:hint="eastAsia"/>
              </w:rPr>
              <w:t>万吨</w:t>
            </w:r>
          </w:p>
        </w:tc>
        <w:tc>
          <w:tcPr>
            <w:tcW w:w="1417" w:type="dxa"/>
            <w:vAlign w:val="center"/>
          </w:tcPr>
          <w:p>
            <w:pPr>
              <w:pStyle w:val="36"/>
            </w:pPr>
            <w:r>
              <w:rPr>
                <w:rFonts w:hint="eastAsia"/>
              </w:rPr>
              <w:t>-</w:t>
            </w:r>
          </w:p>
        </w:tc>
        <w:tc>
          <w:tcPr>
            <w:tcW w:w="1134" w:type="dxa"/>
            <w:vAlign w:val="center"/>
          </w:tcPr>
          <w:p>
            <w:pPr>
              <w:pStyle w:val="36"/>
            </w:pPr>
            <w:r>
              <w:rPr>
                <w:rFonts w:hint="eastAsia"/>
              </w:rPr>
              <w:t>-</w:t>
            </w:r>
          </w:p>
        </w:tc>
        <w:tc>
          <w:tcPr>
            <w:tcW w:w="1179" w:type="dxa"/>
            <w:vAlign w:val="center"/>
          </w:tcPr>
          <w:p>
            <w:pPr>
              <w:pStyle w:val="36"/>
            </w:pPr>
            <w:r>
              <w:rPr>
                <w:rFonts w:hint="eastAsia"/>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81" w:type="dxa"/>
            <w:vMerge w:val="continue"/>
            <w:vAlign w:val="center"/>
          </w:tcPr>
          <w:p>
            <w:pPr>
              <w:pStyle w:val="36"/>
              <w:rPr>
                <w:highlight w:val="yellow"/>
              </w:rPr>
            </w:pPr>
          </w:p>
        </w:tc>
        <w:tc>
          <w:tcPr>
            <w:tcW w:w="778" w:type="dxa"/>
            <w:vMerge w:val="continue"/>
            <w:vAlign w:val="center"/>
          </w:tcPr>
          <w:p>
            <w:pPr>
              <w:pStyle w:val="36"/>
            </w:pPr>
          </w:p>
        </w:tc>
        <w:tc>
          <w:tcPr>
            <w:tcW w:w="2628" w:type="dxa"/>
            <w:vAlign w:val="center"/>
          </w:tcPr>
          <w:p>
            <w:pPr>
              <w:pStyle w:val="36"/>
            </w:pPr>
            <w:r>
              <w:rPr>
                <w:rFonts w:hint="eastAsia"/>
              </w:rPr>
              <w:t>园区污水处理厂排放总量</w:t>
            </w:r>
          </w:p>
        </w:tc>
        <w:tc>
          <w:tcPr>
            <w:tcW w:w="916" w:type="dxa"/>
            <w:vAlign w:val="center"/>
          </w:tcPr>
          <w:p>
            <w:pPr>
              <w:pStyle w:val="36"/>
            </w:pPr>
            <w:r>
              <w:rPr>
                <w:rFonts w:hint="eastAsia"/>
              </w:rPr>
              <w:t>万吨</w:t>
            </w:r>
          </w:p>
        </w:tc>
        <w:tc>
          <w:tcPr>
            <w:tcW w:w="1417" w:type="dxa"/>
            <w:vAlign w:val="center"/>
          </w:tcPr>
          <w:p>
            <w:pPr>
              <w:pStyle w:val="36"/>
            </w:pPr>
            <w:r>
              <w:rPr>
                <w:rFonts w:hint="eastAsia"/>
              </w:rPr>
              <w:t>-</w:t>
            </w:r>
          </w:p>
        </w:tc>
        <w:tc>
          <w:tcPr>
            <w:tcW w:w="1134" w:type="dxa"/>
            <w:vAlign w:val="center"/>
          </w:tcPr>
          <w:p>
            <w:pPr>
              <w:pStyle w:val="36"/>
            </w:pPr>
            <w:r>
              <w:rPr>
                <w:rFonts w:hint="eastAsia"/>
              </w:rPr>
              <w:t>-</w:t>
            </w:r>
          </w:p>
        </w:tc>
        <w:tc>
          <w:tcPr>
            <w:tcW w:w="1179" w:type="dxa"/>
            <w:vAlign w:val="center"/>
          </w:tcPr>
          <w:p>
            <w:pPr>
              <w:pStyle w:val="36"/>
            </w:pPr>
            <w:r>
              <w:rPr>
                <w:rFonts w:hint="eastAsia"/>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781" w:type="dxa"/>
            <w:vMerge w:val="continue"/>
            <w:vAlign w:val="center"/>
          </w:tcPr>
          <w:p>
            <w:pPr>
              <w:pStyle w:val="36"/>
              <w:rPr>
                <w:highlight w:val="yellow"/>
              </w:rPr>
            </w:pPr>
          </w:p>
        </w:tc>
        <w:tc>
          <w:tcPr>
            <w:tcW w:w="778" w:type="dxa"/>
            <w:vMerge w:val="continue"/>
            <w:vAlign w:val="center"/>
          </w:tcPr>
          <w:p>
            <w:pPr>
              <w:pStyle w:val="36"/>
            </w:pPr>
          </w:p>
        </w:tc>
        <w:tc>
          <w:tcPr>
            <w:tcW w:w="2628" w:type="dxa"/>
            <w:vMerge w:val="restart"/>
            <w:vAlign w:val="center"/>
          </w:tcPr>
          <w:p>
            <w:pPr>
              <w:pStyle w:val="36"/>
            </w:pPr>
            <w:r>
              <w:rPr>
                <w:rFonts w:hint="eastAsia"/>
              </w:rPr>
              <w:t>再生水（中水）回用率</w:t>
            </w:r>
          </w:p>
        </w:tc>
        <w:tc>
          <w:tcPr>
            <w:tcW w:w="916" w:type="dxa"/>
            <w:vMerge w:val="restart"/>
            <w:vAlign w:val="center"/>
          </w:tcPr>
          <w:p>
            <w:pPr>
              <w:pStyle w:val="36"/>
            </w:pPr>
            <w:r>
              <w:rPr>
                <w:rFonts w:hint="eastAsia"/>
              </w:rPr>
              <w:t>%</w:t>
            </w:r>
          </w:p>
        </w:tc>
        <w:tc>
          <w:tcPr>
            <w:tcW w:w="1417" w:type="dxa"/>
            <w:vAlign w:val="center"/>
          </w:tcPr>
          <w:p>
            <w:pPr>
              <w:pStyle w:val="36"/>
            </w:pPr>
            <w:r>
              <w:rPr>
                <w:rFonts w:hint="eastAsia"/>
              </w:rPr>
              <w:t>缺水城市达到20%以上</w:t>
            </w:r>
          </w:p>
        </w:tc>
        <w:tc>
          <w:tcPr>
            <w:tcW w:w="1134" w:type="dxa"/>
            <w:vMerge w:val="restart"/>
            <w:vAlign w:val="center"/>
          </w:tcPr>
          <w:p>
            <w:pPr>
              <w:pStyle w:val="36"/>
            </w:pPr>
            <w:r>
              <w:rPr>
                <w:rFonts w:hint="eastAsia"/>
              </w:rPr>
              <w:t>否</w:t>
            </w:r>
          </w:p>
        </w:tc>
        <w:tc>
          <w:tcPr>
            <w:tcW w:w="1179" w:type="dxa"/>
            <w:vMerge w:val="restart"/>
            <w:vAlign w:val="center"/>
          </w:tcPr>
          <w:p>
            <w:pPr>
              <w:pStyle w:val="36"/>
            </w:pPr>
            <w:r>
              <w:rPr>
                <w:rFonts w:hint="eastAsia"/>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81" w:type="dxa"/>
            <w:vMerge w:val="continue"/>
            <w:vAlign w:val="center"/>
          </w:tcPr>
          <w:p>
            <w:pPr>
              <w:pStyle w:val="36"/>
              <w:rPr>
                <w:highlight w:val="yellow"/>
              </w:rPr>
            </w:pPr>
          </w:p>
        </w:tc>
        <w:tc>
          <w:tcPr>
            <w:tcW w:w="778" w:type="dxa"/>
            <w:vMerge w:val="continue"/>
            <w:vAlign w:val="center"/>
          </w:tcPr>
          <w:p>
            <w:pPr>
              <w:pStyle w:val="36"/>
              <w:rPr>
                <w:highlight w:val="yellow"/>
              </w:rPr>
            </w:pPr>
          </w:p>
        </w:tc>
        <w:tc>
          <w:tcPr>
            <w:tcW w:w="2628" w:type="dxa"/>
            <w:vMerge w:val="continue"/>
            <w:vAlign w:val="center"/>
          </w:tcPr>
          <w:p>
            <w:pPr>
              <w:pStyle w:val="36"/>
              <w:rPr>
                <w:highlight w:val="yellow"/>
              </w:rPr>
            </w:pPr>
          </w:p>
        </w:tc>
        <w:tc>
          <w:tcPr>
            <w:tcW w:w="916" w:type="dxa"/>
            <w:vMerge w:val="continue"/>
            <w:vAlign w:val="center"/>
          </w:tcPr>
          <w:p>
            <w:pPr>
              <w:pStyle w:val="36"/>
              <w:rPr>
                <w:highlight w:val="yellow"/>
              </w:rPr>
            </w:pPr>
          </w:p>
        </w:tc>
        <w:tc>
          <w:tcPr>
            <w:tcW w:w="1417" w:type="dxa"/>
            <w:vAlign w:val="center"/>
          </w:tcPr>
          <w:p>
            <w:pPr>
              <w:pStyle w:val="36"/>
            </w:pPr>
            <w:r>
              <w:rPr>
                <w:rFonts w:hint="eastAsia"/>
              </w:rPr>
              <w:t>京津冀区域达到30%以上</w:t>
            </w:r>
          </w:p>
        </w:tc>
        <w:tc>
          <w:tcPr>
            <w:tcW w:w="1134" w:type="dxa"/>
            <w:vMerge w:val="continue"/>
            <w:vAlign w:val="center"/>
          </w:tcPr>
          <w:p>
            <w:pPr>
              <w:pStyle w:val="36"/>
              <w:rPr>
                <w:highlight w:val="yellow"/>
              </w:rPr>
            </w:pPr>
          </w:p>
        </w:tc>
        <w:tc>
          <w:tcPr>
            <w:tcW w:w="1179" w:type="dxa"/>
            <w:vMerge w:val="continue"/>
            <w:vAlign w:val="center"/>
          </w:tcPr>
          <w:p>
            <w:pPr>
              <w:pStyle w:val="36"/>
              <w:rPr>
                <w:highlight w:val="yellow"/>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781" w:type="dxa"/>
            <w:vMerge w:val="continue"/>
            <w:vAlign w:val="center"/>
          </w:tcPr>
          <w:p>
            <w:pPr>
              <w:pStyle w:val="36"/>
              <w:rPr>
                <w:highlight w:val="yellow"/>
              </w:rPr>
            </w:pPr>
          </w:p>
        </w:tc>
        <w:tc>
          <w:tcPr>
            <w:tcW w:w="778" w:type="dxa"/>
            <w:vMerge w:val="continue"/>
            <w:vAlign w:val="center"/>
          </w:tcPr>
          <w:p>
            <w:pPr>
              <w:pStyle w:val="36"/>
              <w:rPr>
                <w:highlight w:val="yellow"/>
              </w:rPr>
            </w:pPr>
          </w:p>
        </w:tc>
        <w:tc>
          <w:tcPr>
            <w:tcW w:w="2628" w:type="dxa"/>
            <w:vMerge w:val="continue"/>
            <w:vAlign w:val="center"/>
          </w:tcPr>
          <w:p>
            <w:pPr>
              <w:pStyle w:val="36"/>
              <w:rPr>
                <w:highlight w:val="yellow"/>
              </w:rPr>
            </w:pPr>
          </w:p>
        </w:tc>
        <w:tc>
          <w:tcPr>
            <w:tcW w:w="916" w:type="dxa"/>
            <w:vMerge w:val="continue"/>
            <w:vAlign w:val="center"/>
          </w:tcPr>
          <w:p>
            <w:pPr>
              <w:pStyle w:val="36"/>
              <w:rPr>
                <w:highlight w:val="yellow"/>
              </w:rPr>
            </w:pPr>
          </w:p>
        </w:tc>
        <w:tc>
          <w:tcPr>
            <w:tcW w:w="1417" w:type="dxa"/>
            <w:vAlign w:val="center"/>
          </w:tcPr>
          <w:p>
            <w:pPr>
              <w:pStyle w:val="36"/>
            </w:pPr>
            <w:r>
              <w:rPr>
                <w:rFonts w:hint="eastAsia"/>
              </w:rPr>
              <w:t>其他地区达到10%以上</w:t>
            </w:r>
          </w:p>
        </w:tc>
        <w:tc>
          <w:tcPr>
            <w:tcW w:w="1134" w:type="dxa"/>
            <w:vMerge w:val="continue"/>
            <w:vAlign w:val="center"/>
          </w:tcPr>
          <w:p>
            <w:pPr>
              <w:pStyle w:val="36"/>
              <w:rPr>
                <w:highlight w:val="yellow"/>
              </w:rPr>
            </w:pPr>
          </w:p>
        </w:tc>
        <w:tc>
          <w:tcPr>
            <w:tcW w:w="1179" w:type="dxa"/>
            <w:vMerge w:val="continue"/>
            <w:vAlign w:val="center"/>
          </w:tcPr>
          <w:p>
            <w:pPr>
              <w:pStyle w:val="36"/>
              <w:rPr>
                <w:highlight w:val="yellow"/>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81" w:type="dxa"/>
            <w:vMerge w:val="restart"/>
            <w:vAlign w:val="center"/>
          </w:tcPr>
          <w:p>
            <w:pPr>
              <w:pStyle w:val="36"/>
            </w:pPr>
            <w:r>
              <w:rPr>
                <w:rFonts w:hint="eastAsia"/>
              </w:rPr>
              <w:t>环境保护</w:t>
            </w:r>
          </w:p>
        </w:tc>
        <w:tc>
          <w:tcPr>
            <w:tcW w:w="778" w:type="dxa"/>
            <w:vAlign w:val="center"/>
          </w:tcPr>
          <w:p>
            <w:pPr>
              <w:pStyle w:val="36"/>
            </w:pPr>
            <w:r>
              <w:rPr>
                <w:rFonts w:hint="eastAsia"/>
              </w:rPr>
              <w:t>17</w:t>
            </w:r>
          </w:p>
        </w:tc>
        <w:tc>
          <w:tcPr>
            <w:tcW w:w="2628" w:type="dxa"/>
            <w:vAlign w:val="center"/>
          </w:tcPr>
          <w:p>
            <w:pPr>
              <w:pStyle w:val="36"/>
            </w:pPr>
            <w:r>
              <w:rPr>
                <w:rFonts w:hint="eastAsia"/>
              </w:rPr>
              <w:t>工业园区重点污染源稳定排放达标情况</w:t>
            </w:r>
          </w:p>
        </w:tc>
        <w:tc>
          <w:tcPr>
            <w:tcW w:w="916" w:type="dxa"/>
            <w:vAlign w:val="center"/>
          </w:tcPr>
          <w:p>
            <w:pPr>
              <w:pStyle w:val="36"/>
            </w:pPr>
            <w:r>
              <w:rPr>
                <w:rFonts w:hint="eastAsia"/>
              </w:rPr>
              <w:t>%</w:t>
            </w:r>
          </w:p>
        </w:tc>
        <w:tc>
          <w:tcPr>
            <w:tcW w:w="1417" w:type="dxa"/>
            <w:vAlign w:val="center"/>
          </w:tcPr>
          <w:p>
            <w:pPr>
              <w:pStyle w:val="36"/>
            </w:pPr>
            <w:r>
              <w:rPr>
                <w:rFonts w:hint="eastAsia"/>
              </w:rPr>
              <w:t>达标</w:t>
            </w:r>
          </w:p>
        </w:tc>
        <w:tc>
          <w:tcPr>
            <w:tcW w:w="1134" w:type="dxa"/>
            <w:vAlign w:val="center"/>
          </w:tcPr>
          <w:p>
            <w:pPr>
              <w:pStyle w:val="36"/>
            </w:pPr>
            <w:r>
              <w:rPr>
                <w:rFonts w:hint="eastAsia"/>
              </w:rPr>
              <w:t>必选</w:t>
            </w:r>
          </w:p>
        </w:tc>
        <w:tc>
          <w:tcPr>
            <w:tcW w:w="1179" w:type="dxa"/>
            <w:vAlign w:val="center"/>
          </w:tcPr>
          <w:p>
            <w:pPr>
              <w:pStyle w:val="36"/>
            </w:pPr>
            <w: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346" w:hRule="atLeast"/>
        </w:trPr>
        <w:tc>
          <w:tcPr>
            <w:tcW w:w="781" w:type="dxa"/>
            <w:vMerge w:val="continue"/>
            <w:vAlign w:val="center"/>
          </w:tcPr>
          <w:p>
            <w:pPr>
              <w:pStyle w:val="36"/>
            </w:pPr>
          </w:p>
        </w:tc>
        <w:tc>
          <w:tcPr>
            <w:tcW w:w="778" w:type="dxa"/>
            <w:vAlign w:val="center"/>
          </w:tcPr>
          <w:p>
            <w:pPr>
              <w:pStyle w:val="36"/>
            </w:pPr>
            <w:r>
              <w:rPr>
                <w:rFonts w:hint="eastAsia"/>
              </w:rPr>
              <w:t>18</w:t>
            </w:r>
          </w:p>
        </w:tc>
        <w:tc>
          <w:tcPr>
            <w:tcW w:w="2628" w:type="dxa"/>
            <w:vAlign w:val="center"/>
          </w:tcPr>
          <w:p>
            <w:pPr>
              <w:pStyle w:val="36"/>
            </w:pPr>
            <w:r>
              <w:rPr>
                <w:rFonts w:hint="eastAsia"/>
              </w:rPr>
              <w:t>工业园区国家重点污染物排放总量控制指标及地方特征污染物排放总量控制指标完成情况</w:t>
            </w:r>
          </w:p>
        </w:tc>
        <w:tc>
          <w:tcPr>
            <w:tcW w:w="916" w:type="dxa"/>
            <w:vAlign w:val="center"/>
          </w:tcPr>
          <w:p>
            <w:pPr>
              <w:pStyle w:val="36"/>
            </w:pPr>
            <w:r>
              <w:rPr>
                <w:rFonts w:hint="eastAsia"/>
              </w:rPr>
              <w:t>—</w:t>
            </w:r>
          </w:p>
        </w:tc>
        <w:tc>
          <w:tcPr>
            <w:tcW w:w="1417" w:type="dxa"/>
            <w:vAlign w:val="center"/>
          </w:tcPr>
          <w:p>
            <w:pPr>
              <w:pStyle w:val="36"/>
            </w:pPr>
            <w:r>
              <w:rPr>
                <w:rFonts w:hint="eastAsia"/>
              </w:rPr>
              <w:t>全部完成</w:t>
            </w:r>
          </w:p>
        </w:tc>
        <w:tc>
          <w:tcPr>
            <w:tcW w:w="1134" w:type="dxa"/>
            <w:vAlign w:val="center"/>
          </w:tcPr>
          <w:p>
            <w:pPr>
              <w:pStyle w:val="36"/>
            </w:pPr>
            <w:r>
              <w:rPr>
                <w:rFonts w:hint="eastAsia"/>
              </w:rPr>
              <w:t>必选</w:t>
            </w:r>
          </w:p>
        </w:tc>
        <w:tc>
          <w:tcPr>
            <w:tcW w:w="1179" w:type="dxa"/>
            <w:vAlign w:val="center"/>
          </w:tcPr>
          <w:p>
            <w:pPr>
              <w:pStyle w:val="36"/>
            </w:pPr>
            <w:r>
              <w:rPr>
                <w:rFonts w:hint="eastAsia"/>
              </w:rPr>
              <w:t>全部完成</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82" w:hRule="atLeast"/>
        </w:trPr>
        <w:tc>
          <w:tcPr>
            <w:tcW w:w="781" w:type="dxa"/>
            <w:vMerge w:val="continue"/>
            <w:vAlign w:val="center"/>
          </w:tcPr>
          <w:p>
            <w:pPr>
              <w:pStyle w:val="36"/>
            </w:pPr>
          </w:p>
        </w:tc>
        <w:tc>
          <w:tcPr>
            <w:tcW w:w="778" w:type="dxa"/>
            <w:vAlign w:val="center"/>
          </w:tcPr>
          <w:p>
            <w:pPr>
              <w:pStyle w:val="36"/>
            </w:pPr>
            <w:r>
              <w:rPr>
                <w:rFonts w:hint="eastAsia"/>
              </w:rPr>
              <w:t>19</w:t>
            </w:r>
          </w:p>
        </w:tc>
        <w:tc>
          <w:tcPr>
            <w:tcW w:w="2628" w:type="dxa"/>
            <w:vAlign w:val="center"/>
          </w:tcPr>
          <w:p>
            <w:pPr>
              <w:pStyle w:val="36"/>
            </w:pPr>
            <w:r>
              <w:rPr>
                <w:rFonts w:hint="eastAsia"/>
              </w:rPr>
              <w:t>工业园区内企事业单位发生特别重大、重大突发环境事件数量</w:t>
            </w:r>
          </w:p>
        </w:tc>
        <w:tc>
          <w:tcPr>
            <w:tcW w:w="916" w:type="dxa"/>
            <w:vAlign w:val="center"/>
          </w:tcPr>
          <w:p>
            <w:pPr>
              <w:pStyle w:val="36"/>
            </w:pPr>
            <w:r>
              <w:rPr>
                <w:rFonts w:hint="eastAsia"/>
              </w:rPr>
              <w:t>—</w:t>
            </w:r>
          </w:p>
        </w:tc>
        <w:tc>
          <w:tcPr>
            <w:tcW w:w="1417" w:type="dxa"/>
            <w:vAlign w:val="center"/>
          </w:tcPr>
          <w:p>
            <w:pPr>
              <w:pStyle w:val="36"/>
            </w:pPr>
            <w:r>
              <w:rPr>
                <w:rFonts w:hint="eastAsia"/>
              </w:rPr>
              <w:t>0</w:t>
            </w:r>
          </w:p>
        </w:tc>
        <w:tc>
          <w:tcPr>
            <w:tcW w:w="1134" w:type="dxa"/>
            <w:vAlign w:val="center"/>
          </w:tcPr>
          <w:p>
            <w:pPr>
              <w:pStyle w:val="36"/>
            </w:pPr>
            <w:r>
              <w:rPr>
                <w:rFonts w:hint="eastAsia"/>
              </w:rPr>
              <w:t>必选</w:t>
            </w:r>
          </w:p>
        </w:tc>
        <w:tc>
          <w:tcPr>
            <w:tcW w:w="1179" w:type="dxa"/>
            <w:vAlign w:val="center"/>
          </w:tcPr>
          <w:p>
            <w:pPr>
              <w:pStyle w:val="36"/>
            </w:pPr>
            <w:r>
              <w:rPr>
                <w:rFonts w:hint="eastAsia"/>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81" w:type="dxa"/>
            <w:vMerge w:val="continue"/>
            <w:vAlign w:val="center"/>
          </w:tcPr>
          <w:p>
            <w:pPr>
              <w:pStyle w:val="36"/>
            </w:pPr>
          </w:p>
        </w:tc>
        <w:tc>
          <w:tcPr>
            <w:tcW w:w="778" w:type="dxa"/>
            <w:vAlign w:val="center"/>
          </w:tcPr>
          <w:p>
            <w:pPr>
              <w:pStyle w:val="36"/>
            </w:pPr>
            <w:r>
              <w:rPr>
                <w:rFonts w:hint="eastAsia"/>
              </w:rPr>
              <w:t>20</w:t>
            </w:r>
          </w:p>
        </w:tc>
        <w:tc>
          <w:tcPr>
            <w:tcW w:w="2628" w:type="dxa"/>
            <w:vAlign w:val="center"/>
          </w:tcPr>
          <w:p>
            <w:pPr>
              <w:pStyle w:val="36"/>
            </w:pPr>
            <w:r>
              <w:rPr>
                <w:rFonts w:hint="eastAsia"/>
              </w:rPr>
              <w:t>环境管理能力完善度</w:t>
            </w:r>
          </w:p>
        </w:tc>
        <w:tc>
          <w:tcPr>
            <w:tcW w:w="916" w:type="dxa"/>
            <w:vAlign w:val="center"/>
          </w:tcPr>
          <w:p>
            <w:pPr>
              <w:pStyle w:val="36"/>
            </w:pPr>
            <w:r>
              <w:rPr>
                <w:rFonts w:hint="eastAsia"/>
              </w:rPr>
              <w:t>%</w:t>
            </w:r>
          </w:p>
        </w:tc>
        <w:tc>
          <w:tcPr>
            <w:tcW w:w="1417" w:type="dxa"/>
            <w:vAlign w:val="center"/>
          </w:tcPr>
          <w:p>
            <w:pPr>
              <w:pStyle w:val="36"/>
            </w:pPr>
            <w:r>
              <w:rPr>
                <w:rFonts w:hint="eastAsia"/>
              </w:rPr>
              <w:t>100</w:t>
            </w:r>
          </w:p>
        </w:tc>
        <w:tc>
          <w:tcPr>
            <w:tcW w:w="1134" w:type="dxa"/>
            <w:vAlign w:val="center"/>
          </w:tcPr>
          <w:p>
            <w:pPr>
              <w:pStyle w:val="36"/>
            </w:pPr>
            <w:r>
              <w:rPr>
                <w:rFonts w:hint="eastAsia"/>
              </w:rPr>
              <w:t>必选</w:t>
            </w:r>
          </w:p>
        </w:tc>
        <w:tc>
          <w:tcPr>
            <w:tcW w:w="1179" w:type="dxa"/>
            <w:vAlign w:val="center"/>
          </w:tcPr>
          <w:p>
            <w:pPr>
              <w:pStyle w:val="36"/>
            </w:pPr>
            <w:r>
              <w:rPr>
                <w:rFonts w:hint="eastAsia"/>
              </w:rPr>
              <w:t>100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81" w:type="dxa"/>
            <w:vMerge w:val="continue"/>
            <w:vAlign w:val="center"/>
          </w:tcPr>
          <w:p>
            <w:pPr>
              <w:pStyle w:val="36"/>
            </w:pPr>
          </w:p>
        </w:tc>
        <w:tc>
          <w:tcPr>
            <w:tcW w:w="778" w:type="dxa"/>
            <w:vAlign w:val="center"/>
          </w:tcPr>
          <w:p>
            <w:pPr>
              <w:pStyle w:val="36"/>
            </w:pPr>
            <w:r>
              <w:rPr>
                <w:rFonts w:hint="eastAsia"/>
              </w:rPr>
              <w:t>21</w:t>
            </w:r>
          </w:p>
        </w:tc>
        <w:tc>
          <w:tcPr>
            <w:tcW w:w="2628" w:type="dxa"/>
            <w:vAlign w:val="center"/>
          </w:tcPr>
          <w:p>
            <w:pPr>
              <w:pStyle w:val="36"/>
            </w:pPr>
            <w:r>
              <w:rPr>
                <w:rFonts w:hint="eastAsia"/>
              </w:rPr>
              <w:t>工业园区重点企业清洁生产审核实施率</w:t>
            </w:r>
          </w:p>
        </w:tc>
        <w:tc>
          <w:tcPr>
            <w:tcW w:w="916" w:type="dxa"/>
            <w:vAlign w:val="center"/>
          </w:tcPr>
          <w:p>
            <w:pPr>
              <w:pStyle w:val="36"/>
            </w:pPr>
            <w:r>
              <w:rPr>
                <w:rFonts w:hint="eastAsia"/>
              </w:rPr>
              <w:t>%</w:t>
            </w:r>
          </w:p>
        </w:tc>
        <w:tc>
          <w:tcPr>
            <w:tcW w:w="1417" w:type="dxa"/>
            <w:vAlign w:val="center"/>
          </w:tcPr>
          <w:p>
            <w:pPr>
              <w:pStyle w:val="36"/>
            </w:pPr>
            <w:r>
              <w:rPr>
                <w:rFonts w:hint="eastAsia"/>
              </w:rPr>
              <w:t>100</w:t>
            </w:r>
          </w:p>
        </w:tc>
        <w:tc>
          <w:tcPr>
            <w:tcW w:w="1134" w:type="dxa"/>
            <w:vAlign w:val="center"/>
          </w:tcPr>
          <w:p>
            <w:pPr>
              <w:pStyle w:val="36"/>
            </w:pPr>
            <w:r>
              <w:rPr>
                <w:rFonts w:hint="eastAsia"/>
              </w:rPr>
              <w:t>必选</w:t>
            </w:r>
          </w:p>
        </w:tc>
        <w:tc>
          <w:tcPr>
            <w:tcW w:w="1179" w:type="dxa"/>
            <w:vAlign w:val="center"/>
          </w:tcPr>
          <w:p>
            <w:pPr>
              <w:pStyle w:val="36"/>
            </w:pPr>
            <w:r>
              <w:rPr>
                <w:rFonts w:hint="eastAsia"/>
              </w:rPr>
              <w:t>100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81" w:type="dxa"/>
            <w:vMerge w:val="continue"/>
            <w:vAlign w:val="center"/>
          </w:tcPr>
          <w:p>
            <w:pPr>
              <w:pStyle w:val="36"/>
            </w:pPr>
          </w:p>
        </w:tc>
        <w:tc>
          <w:tcPr>
            <w:tcW w:w="778" w:type="dxa"/>
            <w:vAlign w:val="center"/>
          </w:tcPr>
          <w:p>
            <w:pPr>
              <w:pStyle w:val="36"/>
            </w:pPr>
            <w:r>
              <w:rPr>
                <w:rFonts w:hint="eastAsia"/>
              </w:rPr>
              <w:t>22</w:t>
            </w:r>
          </w:p>
        </w:tc>
        <w:tc>
          <w:tcPr>
            <w:tcW w:w="2628" w:type="dxa"/>
            <w:vAlign w:val="center"/>
          </w:tcPr>
          <w:p>
            <w:pPr>
              <w:pStyle w:val="36"/>
            </w:pPr>
            <w:r>
              <w:rPr>
                <w:rFonts w:hint="eastAsia"/>
              </w:rPr>
              <w:t>污水集中处理设施</w:t>
            </w:r>
          </w:p>
        </w:tc>
        <w:tc>
          <w:tcPr>
            <w:tcW w:w="916" w:type="dxa"/>
            <w:vAlign w:val="center"/>
          </w:tcPr>
          <w:p>
            <w:pPr>
              <w:pStyle w:val="36"/>
            </w:pPr>
            <w:r>
              <w:rPr>
                <w:rFonts w:hint="eastAsia"/>
              </w:rPr>
              <w:t>—</w:t>
            </w:r>
          </w:p>
        </w:tc>
        <w:tc>
          <w:tcPr>
            <w:tcW w:w="1417" w:type="dxa"/>
            <w:vAlign w:val="center"/>
          </w:tcPr>
          <w:p>
            <w:pPr>
              <w:pStyle w:val="36"/>
            </w:pPr>
            <w:r>
              <w:rPr>
                <w:rFonts w:hint="eastAsia"/>
              </w:rPr>
              <w:t>具备</w:t>
            </w:r>
          </w:p>
        </w:tc>
        <w:tc>
          <w:tcPr>
            <w:tcW w:w="1134" w:type="dxa"/>
            <w:vAlign w:val="center"/>
          </w:tcPr>
          <w:p>
            <w:pPr>
              <w:pStyle w:val="36"/>
            </w:pPr>
            <w:r>
              <w:rPr>
                <w:rFonts w:hint="eastAsia"/>
              </w:rPr>
              <w:t>必选</w:t>
            </w:r>
          </w:p>
        </w:tc>
        <w:tc>
          <w:tcPr>
            <w:tcW w:w="1179" w:type="dxa"/>
            <w:vAlign w:val="center"/>
          </w:tcPr>
          <w:p>
            <w:pPr>
              <w:pStyle w:val="36"/>
            </w:pPr>
            <w:r>
              <w:rPr>
                <w:rFonts w:hint="eastAsia"/>
              </w:rPr>
              <w:t>具备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81" w:type="dxa"/>
            <w:vMerge w:val="continue"/>
            <w:vAlign w:val="center"/>
          </w:tcPr>
          <w:p>
            <w:pPr>
              <w:pStyle w:val="36"/>
            </w:pPr>
          </w:p>
        </w:tc>
        <w:tc>
          <w:tcPr>
            <w:tcW w:w="778" w:type="dxa"/>
            <w:vAlign w:val="center"/>
          </w:tcPr>
          <w:p>
            <w:pPr>
              <w:pStyle w:val="36"/>
            </w:pPr>
            <w:r>
              <w:rPr>
                <w:rFonts w:hint="eastAsia"/>
              </w:rPr>
              <w:t>23</w:t>
            </w:r>
          </w:p>
        </w:tc>
        <w:tc>
          <w:tcPr>
            <w:tcW w:w="2628" w:type="dxa"/>
            <w:vAlign w:val="center"/>
          </w:tcPr>
          <w:p>
            <w:pPr>
              <w:pStyle w:val="36"/>
            </w:pPr>
            <w:r>
              <w:rPr>
                <w:rFonts w:hint="eastAsia"/>
              </w:rPr>
              <w:t>园区环境风险防控体系建设完善度</w:t>
            </w:r>
          </w:p>
        </w:tc>
        <w:tc>
          <w:tcPr>
            <w:tcW w:w="916" w:type="dxa"/>
            <w:vAlign w:val="center"/>
          </w:tcPr>
          <w:p>
            <w:pPr>
              <w:pStyle w:val="36"/>
            </w:pPr>
            <w:r>
              <w:rPr>
                <w:rFonts w:hint="eastAsia"/>
              </w:rPr>
              <w:t>%</w:t>
            </w:r>
          </w:p>
        </w:tc>
        <w:tc>
          <w:tcPr>
            <w:tcW w:w="1417" w:type="dxa"/>
            <w:vAlign w:val="center"/>
          </w:tcPr>
          <w:p>
            <w:pPr>
              <w:pStyle w:val="36"/>
            </w:pPr>
            <w:r>
              <w:rPr>
                <w:rFonts w:hint="eastAsia"/>
              </w:rPr>
              <w:t>100</w:t>
            </w:r>
          </w:p>
        </w:tc>
        <w:tc>
          <w:tcPr>
            <w:tcW w:w="1134" w:type="dxa"/>
            <w:vAlign w:val="center"/>
          </w:tcPr>
          <w:p>
            <w:pPr>
              <w:pStyle w:val="36"/>
            </w:pPr>
            <w:r>
              <w:rPr>
                <w:rFonts w:hint="eastAsia"/>
              </w:rPr>
              <w:t>必选</w:t>
            </w:r>
          </w:p>
        </w:tc>
        <w:tc>
          <w:tcPr>
            <w:tcW w:w="1179" w:type="dxa"/>
            <w:vAlign w:val="center"/>
          </w:tcPr>
          <w:p>
            <w:pPr>
              <w:pStyle w:val="36"/>
            </w:pPr>
            <w:r>
              <w:rPr>
                <w:rFonts w:hint="eastAsia"/>
              </w:rPr>
              <w:t>100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81" w:type="dxa"/>
            <w:vMerge w:val="continue"/>
            <w:vAlign w:val="center"/>
          </w:tcPr>
          <w:p>
            <w:pPr>
              <w:pStyle w:val="36"/>
              <w:rPr>
                <w:highlight w:val="yellow"/>
              </w:rPr>
            </w:pPr>
          </w:p>
        </w:tc>
        <w:tc>
          <w:tcPr>
            <w:tcW w:w="778" w:type="dxa"/>
            <w:vAlign w:val="center"/>
          </w:tcPr>
          <w:p>
            <w:pPr>
              <w:pStyle w:val="36"/>
            </w:pPr>
            <w:r>
              <w:rPr>
                <w:rFonts w:hint="eastAsia"/>
              </w:rPr>
              <w:t>24</w:t>
            </w:r>
          </w:p>
        </w:tc>
        <w:tc>
          <w:tcPr>
            <w:tcW w:w="2628" w:type="dxa"/>
            <w:vAlign w:val="center"/>
          </w:tcPr>
          <w:p>
            <w:pPr>
              <w:pStyle w:val="36"/>
            </w:pPr>
            <w:r>
              <w:rPr>
                <w:rFonts w:hint="eastAsia"/>
              </w:rPr>
              <w:t>工业固体废物（含危险废物）处置利用率</w:t>
            </w:r>
          </w:p>
        </w:tc>
        <w:tc>
          <w:tcPr>
            <w:tcW w:w="916" w:type="dxa"/>
            <w:vAlign w:val="center"/>
          </w:tcPr>
          <w:p>
            <w:pPr>
              <w:pStyle w:val="36"/>
            </w:pPr>
            <w:r>
              <w:rPr>
                <w:rFonts w:hint="eastAsia"/>
              </w:rPr>
              <w:t>-</w:t>
            </w:r>
          </w:p>
        </w:tc>
        <w:tc>
          <w:tcPr>
            <w:tcW w:w="1417" w:type="dxa"/>
            <w:vAlign w:val="center"/>
          </w:tcPr>
          <w:p>
            <w:pPr>
              <w:pStyle w:val="36"/>
            </w:pPr>
            <w:r>
              <w:rPr>
                <w:rFonts w:hint="eastAsia"/>
              </w:rPr>
              <w:t>100</w:t>
            </w:r>
          </w:p>
        </w:tc>
        <w:tc>
          <w:tcPr>
            <w:tcW w:w="1134" w:type="dxa"/>
            <w:vAlign w:val="center"/>
          </w:tcPr>
          <w:p>
            <w:pPr>
              <w:pStyle w:val="36"/>
            </w:pPr>
            <w:r>
              <w:rPr>
                <w:rFonts w:hint="eastAsia"/>
              </w:rPr>
              <w:t>必选</w:t>
            </w:r>
          </w:p>
        </w:tc>
        <w:tc>
          <w:tcPr>
            <w:tcW w:w="1179" w:type="dxa"/>
            <w:vAlign w:val="center"/>
          </w:tcPr>
          <w:p>
            <w:pPr>
              <w:pStyle w:val="36"/>
            </w:pPr>
            <w:r>
              <w:rPr>
                <w:rFonts w:hint="eastAsia"/>
              </w:rPr>
              <w:t>1</w:t>
            </w:r>
            <w:r>
              <w:t>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81" w:type="dxa"/>
            <w:vMerge w:val="continue"/>
            <w:vAlign w:val="center"/>
          </w:tcPr>
          <w:p>
            <w:pPr>
              <w:pStyle w:val="36"/>
              <w:rPr>
                <w:highlight w:val="yellow"/>
              </w:rPr>
            </w:pPr>
          </w:p>
        </w:tc>
        <w:tc>
          <w:tcPr>
            <w:tcW w:w="778" w:type="dxa"/>
            <w:vMerge w:val="restart"/>
            <w:vAlign w:val="center"/>
          </w:tcPr>
          <w:p>
            <w:pPr>
              <w:pStyle w:val="36"/>
            </w:pPr>
            <w:r>
              <w:rPr>
                <w:rFonts w:hint="eastAsia"/>
              </w:rPr>
              <w:t>25</w:t>
            </w:r>
          </w:p>
        </w:tc>
        <w:tc>
          <w:tcPr>
            <w:tcW w:w="2628" w:type="dxa"/>
            <w:vAlign w:val="center"/>
          </w:tcPr>
          <w:p>
            <w:pPr>
              <w:pStyle w:val="36"/>
            </w:pPr>
            <w:r>
              <w:rPr>
                <w:rFonts w:hint="eastAsia"/>
              </w:rPr>
              <w:t>COD排放量</w:t>
            </w:r>
          </w:p>
        </w:tc>
        <w:tc>
          <w:tcPr>
            <w:tcW w:w="916" w:type="dxa"/>
            <w:vAlign w:val="center"/>
          </w:tcPr>
          <w:p>
            <w:pPr>
              <w:pStyle w:val="36"/>
            </w:pPr>
            <w:r>
              <w:rPr>
                <w:rFonts w:hint="eastAsia"/>
              </w:rPr>
              <w:t>吨</w:t>
            </w:r>
          </w:p>
        </w:tc>
        <w:tc>
          <w:tcPr>
            <w:tcW w:w="1417" w:type="dxa"/>
            <w:vAlign w:val="center"/>
          </w:tcPr>
          <w:p>
            <w:pPr>
              <w:pStyle w:val="36"/>
            </w:pPr>
            <w:r>
              <w:rPr>
                <w:rFonts w:hint="eastAsia"/>
              </w:rPr>
              <w:t>-</w:t>
            </w:r>
          </w:p>
        </w:tc>
        <w:tc>
          <w:tcPr>
            <w:tcW w:w="1134" w:type="dxa"/>
            <w:vAlign w:val="center"/>
          </w:tcPr>
          <w:p>
            <w:pPr>
              <w:pStyle w:val="36"/>
            </w:pPr>
            <w:r>
              <w:rPr>
                <w:rFonts w:hint="eastAsia"/>
              </w:rPr>
              <w:t>-</w:t>
            </w:r>
          </w:p>
        </w:tc>
        <w:tc>
          <w:tcPr>
            <w:tcW w:w="1179" w:type="dxa"/>
            <w:vAlign w:val="center"/>
          </w:tcPr>
          <w:p>
            <w:pPr>
              <w:pStyle w:val="36"/>
            </w:pPr>
            <w:r>
              <w:t>17.591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81" w:type="dxa"/>
            <w:vMerge w:val="continue"/>
            <w:vAlign w:val="center"/>
          </w:tcPr>
          <w:p>
            <w:pPr>
              <w:pStyle w:val="36"/>
              <w:rPr>
                <w:highlight w:val="yellow"/>
              </w:rPr>
            </w:pPr>
          </w:p>
        </w:tc>
        <w:tc>
          <w:tcPr>
            <w:tcW w:w="778" w:type="dxa"/>
            <w:vMerge w:val="continue"/>
            <w:vAlign w:val="center"/>
          </w:tcPr>
          <w:p>
            <w:pPr>
              <w:pStyle w:val="36"/>
            </w:pPr>
          </w:p>
        </w:tc>
        <w:tc>
          <w:tcPr>
            <w:tcW w:w="2628" w:type="dxa"/>
            <w:vAlign w:val="center"/>
          </w:tcPr>
          <w:p>
            <w:pPr>
              <w:pStyle w:val="36"/>
            </w:pPr>
            <w:r>
              <w:rPr>
                <w:rFonts w:hint="eastAsia"/>
              </w:rPr>
              <w:t>氨氮排放量</w:t>
            </w:r>
          </w:p>
        </w:tc>
        <w:tc>
          <w:tcPr>
            <w:tcW w:w="916" w:type="dxa"/>
            <w:vAlign w:val="center"/>
          </w:tcPr>
          <w:p>
            <w:pPr>
              <w:pStyle w:val="36"/>
            </w:pPr>
            <w:r>
              <w:rPr>
                <w:rFonts w:hint="eastAsia"/>
              </w:rPr>
              <w:t>吨</w:t>
            </w:r>
          </w:p>
        </w:tc>
        <w:tc>
          <w:tcPr>
            <w:tcW w:w="1417" w:type="dxa"/>
            <w:vAlign w:val="center"/>
          </w:tcPr>
          <w:p>
            <w:pPr>
              <w:pStyle w:val="36"/>
            </w:pPr>
            <w:r>
              <w:rPr>
                <w:rFonts w:hint="eastAsia"/>
              </w:rPr>
              <w:t>-</w:t>
            </w:r>
          </w:p>
        </w:tc>
        <w:tc>
          <w:tcPr>
            <w:tcW w:w="1134" w:type="dxa"/>
            <w:vAlign w:val="center"/>
          </w:tcPr>
          <w:p>
            <w:pPr>
              <w:pStyle w:val="36"/>
            </w:pPr>
            <w:r>
              <w:rPr>
                <w:rFonts w:hint="eastAsia"/>
              </w:rPr>
              <w:t>-</w:t>
            </w:r>
          </w:p>
        </w:tc>
        <w:tc>
          <w:tcPr>
            <w:tcW w:w="1179" w:type="dxa"/>
            <w:vAlign w:val="center"/>
          </w:tcPr>
          <w:p>
            <w:pPr>
              <w:pStyle w:val="36"/>
            </w:pPr>
            <w:r>
              <w:rPr>
                <w:rFonts w:hint="eastAsia"/>
              </w:rPr>
              <w:t>0</w:t>
            </w:r>
            <w:r>
              <w:t>.414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81" w:type="dxa"/>
            <w:vMerge w:val="continue"/>
            <w:vAlign w:val="center"/>
          </w:tcPr>
          <w:p>
            <w:pPr>
              <w:pStyle w:val="36"/>
              <w:rPr>
                <w:highlight w:val="yellow"/>
              </w:rPr>
            </w:pPr>
          </w:p>
        </w:tc>
        <w:tc>
          <w:tcPr>
            <w:tcW w:w="778" w:type="dxa"/>
            <w:vMerge w:val="continue"/>
            <w:vAlign w:val="center"/>
          </w:tcPr>
          <w:p>
            <w:pPr>
              <w:pStyle w:val="36"/>
            </w:pPr>
          </w:p>
        </w:tc>
        <w:tc>
          <w:tcPr>
            <w:tcW w:w="2628" w:type="dxa"/>
            <w:vAlign w:val="center"/>
          </w:tcPr>
          <w:p>
            <w:pPr>
              <w:pStyle w:val="36"/>
            </w:pPr>
            <w:r>
              <w:rPr>
                <w:rFonts w:hint="eastAsia"/>
              </w:rPr>
              <w:t>SO</w:t>
            </w:r>
            <w:r>
              <w:rPr>
                <w:rFonts w:hint="eastAsia"/>
                <w:vertAlign w:val="subscript"/>
              </w:rPr>
              <w:t>2</w:t>
            </w:r>
            <w:r>
              <w:rPr>
                <w:rFonts w:hint="eastAsia"/>
              </w:rPr>
              <w:t>排放量</w:t>
            </w:r>
          </w:p>
        </w:tc>
        <w:tc>
          <w:tcPr>
            <w:tcW w:w="916" w:type="dxa"/>
            <w:vAlign w:val="center"/>
          </w:tcPr>
          <w:p>
            <w:pPr>
              <w:pStyle w:val="36"/>
            </w:pPr>
            <w:r>
              <w:rPr>
                <w:rFonts w:hint="eastAsia"/>
              </w:rPr>
              <w:t>吨</w:t>
            </w:r>
          </w:p>
        </w:tc>
        <w:tc>
          <w:tcPr>
            <w:tcW w:w="1417" w:type="dxa"/>
            <w:vAlign w:val="center"/>
          </w:tcPr>
          <w:p>
            <w:pPr>
              <w:pStyle w:val="36"/>
            </w:pPr>
            <w:r>
              <w:rPr>
                <w:rFonts w:hint="eastAsia"/>
              </w:rPr>
              <w:t>-</w:t>
            </w:r>
          </w:p>
        </w:tc>
        <w:tc>
          <w:tcPr>
            <w:tcW w:w="1134" w:type="dxa"/>
            <w:vAlign w:val="center"/>
          </w:tcPr>
          <w:p>
            <w:pPr>
              <w:pStyle w:val="36"/>
            </w:pPr>
            <w:r>
              <w:rPr>
                <w:rFonts w:hint="eastAsia"/>
              </w:rPr>
              <w:t>-</w:t>
            </w:r>
          </w:p>
        </w:tc>
        <w:tc>
          <w:tcPr>
            <w:tcW w:w="1179" w:type="dxa"/>
            <w:vAlign w:val="center"/>
          </w:tcPr>
          <w:p>
            <w:pPr>
              <w:pStyle w:val="36"/>
            </w:pPr>
            <w:r>
              <w:t>145.434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81" w:type="dxa"/>
            <w:vMerge w:val="continue"/>
            <w:vAlign w:val="center"/>
          </w:tcPr>
          <w:p>
            <w:pPr>
              <w:pStyle w:val="36"/>
              <w:rPr>
                <w:highlight w:val="yellow"/>
              </w:rPr>
            </w:pPr>
          </w:p>
        </w:tc>
        <w:tc>
          <w:tcPr>
            <w:tcW w:w="778" w:type="dxa"/>
            <w:vMerge w:val="continue"/>
            <w:vAlign w:val="center"/>
          </w:tcPr>
          <w:p>
            <w:pPr>
              <w:pStyle w:val="36"/>
            </w:pPr>
          </w:p>
        </w:tc>
        <w:tc>
          <w:tcPr>
            <w:tcW w:w="2628" w:type="dxa"/>
            <w:vAlign w:val="center"/>
          </w:tcPr>
          <w:p>
            <w:pPr>
              <w:pStyle w:val="36"/>
            </w:pPr>
            <w:r>
              <w:rPr>
                <w:rFonts w:hint="eastAsia"/>
              </w:rPr>
              <w:t>氮氧化物排放量</w:t>
            </w:r>
          </w:p>
        </w:tc>
        <w:tc>
          <w:tcPr>
            <w:tcW w:w="916" w:type="dxa"/>
            <w:vAlign w:val="center"/>
          </w:tcPr>
          <w:p>
            <w:pPr>
              <w:pStyle w:val="36"/>
            </w:pPr>
            <w:r>
              <w:rPr>
                <w:rFonts w:hint="eastAsia"/>
              </w:rPr>
              <w:t>吨</w:t>
            </w:r>
          </w:p>
        </w:tc>
        <w:tc>
          <w:tcPr>
            <w:tcW w:w="1417" w:type="dxa"/>
            <w:vAlign w:val="center"/>
          </w:tcPr>
          <w:p>
            <w:pPr>
              <w:pStyle w:val="36"/>
            </w:pPr>
            <w:r>
              <w:rPr>
                <w:rFonts w:hint="eastAsia"/>
              </w:rPr>
              <w:t>-</w:t>
            </w:r>
          </w:p>
        </w:tc>
        <w:tc>
          <w:tcPr>
            <w:tcW w:w="1134" w:type="dxa"/>
            <w:vAlign w:val="center"/>
          </w:tcPr>
          <w:p>
            <w:pPr>
              <w:pStyle w:val="36"/>
            </w:pPr>
            <w:r>
              <w:rPr>
                <w:rFonts w:hint="eastAsia"/>
              </w:rPr>
              <w:t>-</w:t>
            </w:r>
          </w:p>
        </w:tc>
        <w:tc>
          <w:tcPr>
            <w:tcW w:w="1179" w:type="dxa"/>
            <w:vAlign w:val="center"/>
          </w:tcPr>
          <w:p>
            <w:pPr>
              <w:pStyle w:val="36"/>
            </w:pPr>
            <w:r>
              <w:t>844.974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81" w:type="dxa"/>
            <w:vMerge w:val="continue"/>
            <w:vAlign w:val="center"/>
          </w:tcPr>
          <w:p>
            <w:pPr>
              <w:pStyle w:val="36"/>
              <w:rPr>
                <w:highlight w:val="yellow"/>
              </w:rPr>
            </w:pPr>
          </w:p>
        </w:tc>
        <w:tc>
          <w:tcPr>
            <w:tcW w:w="778" w:type="dxa"/>
            <w:vMerge w:val="continue"/>
            <w:vAlign w:val="center"/>
          </w:tcPr>
          <w:p>
            <w:pPr>
              <w:pStyle w:val="36"/>
            </w:pPr>
          </w:p>
        </w:tc>
        <w:tc>
          <w:tcPr>
            <w:tcW w:w="2628" w:type="dxa"/>
            <w:vAlign w:val="center"/>
          </w:tcPr>
          <w:p>
            <w:pPr>
              <w:pStyle w:val="36"/>
              <w:rPr>
                <w:highlight w:val="yellow"/>
              </w:rPr>
            </w:pPr>
            <w:r>
              <w:rPr>
                <w:rFonts w:hint="eastAsia"/>
              </w:rPr>
              <w:t>规划基准年COD排放量</w:t>
            </w:r>
          </w:p>
        </w:tc>
        <w:tc>
          <w:tcPr>
            <w:tcW w:w="916" w:type="dxa"/>
            <w:vAlign w:val="center"/>
          </w:tcPr>
          <w:p>
            <w:pPr>
              <w:pStyle w:val="36"/>
            </w:pPr>
            <w:r>
              <w:rPr>
                <w:rFonts w:hint="eastAsia"/>
              </w:rPr>
              <w:t>吨</w:t>
            </w:r>
          </w:p>
        </w:tc>
        <w:tc>
          <w:tcPr>
            <w:tcW w:w="1417" w:type="dxa"/>
            <w:vAlign w:val="center"/>
          </w:tcPr>
          <w:p>
            <w:pPr>
              <w:pStyle w:val="36"/>
            </w:pPr>
            <w:r>
              <w:rPr>
                <w:rFonts w:hint="eastAsia"/>
              </w:rPr>
              <w:t>-</w:t>
            </w:r>
          </w:p>
        </w:tc>
        <w:tc>
          <w:tcPr>
            <w:tcW w:w="1134" w:type="dxa"/>
            <w:vAlign w:val="center"/>
          </w:tcPr>
          <w:p>
            <w:pPr>
              <w:pStyle w:val="36"/>
            </w:pPr>
            <w:r>
              <w:rPr>
                <w:rFonts w:hint="eastAsia"/>
              </w:rPr>
              <w:t>-</w:t>
            </w:r>
          </w:p>
        </w:tc>
        <w:tc>
          <w:tcPr>
            <w:tcW w:w="1179" w:type="dxa"/>
            <w:vAlign w:val="center"/>
          </w:tcPr>
          <w:p>
            <w:pPr>
              <w:pStyle w:val="36"/>
            </w:pPr>
            <w:r>
              <w:rPr>
                <w:rFonts w:hint="eastAsia"/>
              </w:rPr>
              <w:t>4</w:t>
            </w:r>
            <w:r>
              <w:t>190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81" w:type="dxa"/>
            <w:vMerge w:val="continue"/>
            <w:vAlign w:val="center"/>
          </w:tcPr>
          <w:p>
            <w:pPr>
              <w:pStyle w:val="36"/>
              <w:rPr>
                <w:highlight w:val="yellow"/>
              </w:rPr>
            </w:pPr>
          </w:p>
        </w:tc>
        <w:tc>
          <w:tcPr>
            <w:tcW w:w="778" w:type="dxa"/>
            <w:vMerge w:val="continue"/>
            <w:vAlign w:val="center"/>
          </w:tcPr>
          <w:p>
            <w:pPr>
              <w:pStyle w:val="36"/>
            </w:pPr>
          </w:p>
        </w:tc>
        <w:tc>
          <w:tcPr>
            <w:tcW w:w="2628" w:type="dxa"/>
            <w:vAlign w:val="center"/>
          </w:tcPr>
          <w:p>
            <w:pPr>
              <w:pStyle w:val="36"/>
              <w:rPr>
                <w:highlight w:val="yellow"/>
              </w:rPr>
            </w:pPr>
            <w:r>
              <w:rPr>
                <w:rFonts w:hint="eastAsia"/>
              </w:rPr>
              <w:t>规划基准年氨氮排放量</w:t>
            </w:r>
          </w:p>
        </w:tc>
        <w:tc>
          <w:tcPr>
            <w:tcW w:w="916" w:type="dxa"/>
            <w:vAlign w:val="center"/>
          </w:tcPr>
          <w:p>
            <w:pPr>
              <w:pStyle w:val="36"/>
            </w:pPr>
            <w:r>
              <w:rPr>
                <w:rFonts w:hint="eastAsia"/>
              </w:rPr>
              <w:t>吨</w:t>
            </w:r>
          </w:p>
        </w:tc>
        <w:tc>
          <w:tcPr>
            <w:tcW w:w="1417" w:type="dxa"/>
            <w:vAlign w:val="center"/>
          </w:tcPr>
          <w:p>
            <w:pPr>
              <w:pStyle w:val="36"/>
            </w:pPr>
            <w:r>
              <w:rPr>
                <w:rFonts w:hint="eastAsia"/>
              </w:rPr>
              <w:t>-</w:t>
            </w:r>
          </w:p>
        </w:tc>
        <w:tc>
          <w:tcPr>
            <w:tcW w:w="1134" w:type="dxa"/>
            <w:vAlign w:val="center"/>
          </w:tcPr>
          <w:p>
            <w:pPr>
              <w:pStyle w:val="36"/>
            </w:pPr>
            <w:r>
              <w:rPr>
                <w:rFonts w:hint="eastAsia"/>
              </w:rPr>
              <w:t>-</w:t>
            </w:r>
          </w:p>
        </w:tc>
        <w:tc>
          <w:tcPr>
            <w:tcW w:w="1179" w:type="dxa"/>
            <w:vAlign w:val="center"/>
          </w:tcPr>
          <w:p>
            <w:pPr>
              <w:pStyle w:val="36"/>
            </w:pPr>
            <w:r>
              <w:rPr>
                <w:rFonts w:hint="eastAsia"/>
              </w:rPr>
              <w:t>8</w:t>
            </w:r>
            <w:r>
              <w:t>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81" w:type="dxa"/>
            <w:vMerge w:val="continue"/>
            <w:vAlign w:val="center"/>
          </w:tcPr>
          <w:p>
            <w:pPr>
              <w:pStyle w:val="36"/>
              <w:rPr>
                <w:highlight w:val="yellow"/>
              </w:rPr>
            </w:pPr>
          </w:p>
        </w:tc>
        <w:tc>
          <w:tcPr>
            <w:tcW w:w="778" w:type="dxa"/>
            <w:vMerge w:val="continue"/>
            <w:vAlign w:val="center"/>
          </w:tcPr>
          <w:p>
            <w:pPr>
              <w:pStyle w:val="36"/>
            </w:pPr>
          </w:p>
        </w:tc>
        <w:tc>
          <w:tcPr>
            <w:tcW w:w="2628" w:type="dxa"/>
            <w:vAlign w:val="center"/>
          </w:tcPr>
          <w:p>
            <w:pPr>
              <w:pStyle w:val="36"/>
            </w:pPr>
            <w:r>
              <w:rPr>
                <w:rFonts w:hint="eastAsia"/>
              </w:rPr>
              <w:t>规划基准年SO</w:t>
            </w:r>
            <w:r>
              <w:rPr>
                <w:rFonts w:hint="eastAsia"/>
                <w:vertAlign w:val="subscript"/>
              </w:rPr>
              <w:t>2</w:t>
            </w:r>
            <w:r>
              <w:rPr>
                <w:rFonts w:hint="eastAsia"/>
              </w:rPr>
              <w:t>排放量</w:t>
            </w:r>
          </w:p>
        </w:tc>
        <w:tc>
          <w:tcPr>
            <w:tcW w:w="916" w:type="dxa"/>
            <w:vAlign w:val="center"/>
          </w:tcPr>
          <w:p>
            <w:pPr>
              <w:pStyle w:val="36"/>
            </w:pPr>
            <w:r>
              <w:rPr>
                <w:rFonts w:hint="eastAsia"/>
              </w:rPr>
              <w:t>吨</w:t>
            </w:r>
          </w:p>
        </w:tc>
        <w:tc>
          <w:tcPr>
            <w:tcW w:w="1417" w:type="dxa"/>
            <w:vAlign w:val="center"/>
          </w:tcPr>
          <w:p>
            <w:pPr>
              <w:pStyle w:val="36"/>
            </w:pPr>
            <w:r>
              <w:rPr>
                <w:rFonts w:hint="eastAsia"/>
              </w:rPr>
              <w:t>-</w:t>
            </w:r>
          </w:p>
        </w:tc>
        <w:tc>
          <w:tcPr>
            <w:tcW w:w="1134" w:type="dxa"/>
            <w:vAlign w:val="center"/>
          </w:tcPr>
          <w:p>
            <w:pPr>
              <w:pStyle w:val="36"/>
            </w:pPr>
            <w:r>
              <w:rPr>
                <w:rFonts w:hint="eastAsia"/>
              </w:rPr>
              <w:t>-</w:t>
            </w:r>
          </w:p>
        </w:tc>
        <w:tc>
          <w:tcPr>
            <w:tcW w:w="1179" w:type="dxa"/>
            <w:vAlign w:val="center"/>
          </w:tcPr>
          <w:p>
            <w:pPr>
              <w:pStyle w:val="36"/>
            </w:pPr>
            <w:r>
              <w:rPr>
                <w:rFonts w:hint="eastAsia"/>
              </w:rPr>
              <w:t>3</w:t>
            </w:r>
            <w:r>
              <w:t>768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81" w:type="dxa"/>
            <w:vMerge w:val="continue"/>
            <w:vAlign w:val="center"/>
          </w:tcPr>
          <w:p>
            <w:pPr>
              <w:pStyle w:val="36"/>
              <w:rPr>
                <w:highlight w:val="yellow"/>
              </w:rPr>
            </w:pPr>
          </w:p>
        </w:tc>
        <w:tc>
          <w:tcPr>
            <w:tcW w:w="778" w:type="dxa"/>
            <w:vMerge w:val="continue"/>
            <w:vAlign w:val="center"/>
          </w:tcPr>
          <w:p>
            <w:pPr>
              <w:pStyle w:val="36"/>
            </w:pPr>
          </w:p>
        </w:tc>
        <w:tc>
          <w:tcPr>
            <w:tcW w:w="2628" w:type="dxa"/>
            <w:vAlign w:val="center"/>
          </w:tcPr>
          <w:p>
            <w:pPr>
              <w:pStyle w:val="36"/>
              <w:rPr>
                <w:highlight w:val="yellow"/>
              </w:rPr>
            </w:pPr>
            <w:r>
              <w:rPr>
                <w:rFonts w:hint="eastAsia"/>
              </w:rPr>
              <w:t>规划基准年氮氧化物排放量</w:t>
            </w:r>
          </w:p>
        </w:tc>
        <w:tc>
          <w:tcPr>
            <w:tcW w:w="916" w:type="dxa"/>
            <w:vAlign w:val="center"/>
          </w:tcPr>
          <w:p>
            <w:pPr>
              <w:pStyle w:val="36"/>
            </w:pPr>
            <w:r>
              <w:rPr>
                <w:rFonts w:hint="eastAsia"/>
              </w:rPr>
              <w:t>吨</w:t>
            </w:r>
          </w:p>
        </w:tc>
        <w:tc>
          <w:tcPr>
            <w:tcW w:w="1417" w:type="dxa"/>
            <w:vAlign w:val="center"/>
          </w:tcPr>
          <w:p>
            <w:pPr>
              <w:pStyle w:val="36"/>
            </w:pPr>
            <w:r>
              <w:rPr>
                <w:rFonts w:hint="eastAsia"/>
              </w:rPr>
              <w:t>-</w:t>
            </w:r>
          </w:p>
        </w:tc>
        <w:tc>
          <w:tcPr>
            <w:tcW w:w="1134" w:type="dxa"/>
            <w:vAlign w:val="center"/>
          </w:tcPr>
          <w:p>
            <w:pPr>
              <w:pStyle w:val="36"/>
            </w:pPr>
            <w:r>
              <w:rPr>
                <w:rFonts w:hint="eastAsia"/>
              </w:rPr>
              <w:t>-</w:t>
            </w:r>
          </w:p>
        </w:tc>
        <w:tc>
          <w:tcPr>
            <w:tcW w:w="1179" w:type="dxa"/>
            <w:vAlign w:val="center"/>
          </w:tcPr>
          <w:p>
            <w:pPr>
              <w:pStyle w:val="36"/>
            </w:pPr>
            <w:r>
              <w:rPr>
                <w:rFonts w:hint="eastAsia"/>
              </w:rPr>
              <w:t>9</w:t>
            </w:r>
            <w:r>
              <w:t>048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781" w:type="dxa"/>
            <w:vMerge w:val="continue"/>
            <w:vAlign w:val="center"/>
          </w:tcPr>
          <w:p>
            <w:pPr>
              <w:pStyle w:val="36"/>
              <w:rPr>
                <w:highlight w:val="yellow"/>
              </w:rPr>
            </w:pPr>
          </w:p>
        </w:tc>
        <w:tc>
          <w:tcPr>
            <w:tcW w:w="778" w:type="dxa"/>
            <w:vMerge w:val="continue"/>
            <w:vAlign w:val="center"/>
          </w:tcPr>
          <w:p>
            <w:pPr>
              <w:pStyle w:val="36"/>
            </w:pPr>
          </w:p>
        </w:tc>
        <w:tc>
          <w:tcPr>
            <w:tcW w:w="2628" w:type="dxa"/>
            <w:vMerge w:val="restart"/>
            <w:vAlign w:val="center"/>
          </w:tcPr>
          <w:p>
            <w:pPr>
              <w:pStyle w:val="36"/>
            </w:pPr>
            <w:r>
              <w:rPr>
                <w:rFonts w:hint="eastAsia"/>
              </w:rPr>
              <w:t>主要污染物排放弹性系数</w:t>
            </w:r>
          </w:p>
        </w:tc>
        <w:tc>
          <w:tcPr>
            <w:tcW w:w="916" w:type="dxa"/>
            <w:vMerge w:val="restart"/>
            <w:vAlign w:val="center"/>
          </w:tcPr>
          <w:p>
            <w:pPr>
              <w:pStyle w:val="36"/>
            </w:pPr>
            <w:r>
              <w:rPr>
                <w:rFonts w:hint="eastAsia"/>
              </w:rPr>
              <w:t>—</w:t>
            </w:r>
          </w:p>
        </w:tc>
        <w:tc>
          <w:tcPr>
            <w:tcW w:w="1417" w:type="dxa"/>
            <w:vAlign w:val="center"/>
          </w:tcPr>
          <w:p>
            <w:pPr>
              <w:pStyle w:val="36"/>
            </w:pPr>
            <w:r>
              <w:rPr>
                <w:rFonts w:hint="eastAsia"/>
              </w:rPr>
              <w:t>当园区工业增加值建设期年均增长率&gt;0，≤0.3</w:t>
            </w:r>
          </w:p>
        </w:tc>
        <w:tc>
          <w:tcPr>
            <w:tcW w:w="1134" w:type="dxa"/>
            <w:vMerge w:val="restart"/>
            <w:vAlign w:val="center"/>
          </w:tcPr>
          <w:p>
            <w:pPr>
              <w:pStyle w:val="36"/>
            </w:pPr>
            <w:r>
              <w:rPr>
                <w:rFonts w:hint="eastAsia"/>
              </w:rPr>
              <w:t>必选</w:t>
            </w:r>
          </w:p>
        </w:tc>
        <w:tc>
          <w:tcPr>
            <w:tcW w:w="1179" w:type="dxa"/>
            <w:vMerge w:val="restart"/>
            <w:vAlign w:val="center"/>
          </w:tcPr>
          <w:p>
            <w:pPr>
              <w:pStyle w:val="36"/>
            </w:pPr>
            <w:r>
              <w:rPr>
                <w:rFonts w:hint="eastAsia"/>
              </w:rPr>
              <w:t>-</w:t>
            </w:r>
            <w:r>
              <w:t>9.</w:t>
            </w:r>
            <w:r>
              <w:rPr>
                <w:rFonts w:hint="eastAsia"/>
              </w:rPr>
              <w:t>97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781" w:type="dxa"/>
            <w:vMerge w:val="continue"/>
            <w:vAlign w:val="center"/>
          </w:tcPr>
          <w:p>
            <w:pPr>
              <w:pStyle w:val="36"/>
              <w:rPr>
                <w:highlight w:val="yellow"/>
              </w:rPr>
            </w:pPr>
          </w:p>
        </w:tc>
        <w:tc>
          <w:tcPr>
            <w:tcW w:w="778" w:type="dxa"/>
            <w:vMerge w:val="continue"/>
            <w:vAlign w:val="center"/>
          </w:tcPr>
          <w:p>
            <w:pPr>
              <w:pStyle w:val="36"/>
              <w:rPr>
                <w:highlight w:val="yellow"/>
              </w:rPr>
            </w:pPr>
          </w:p>
        </w:tc>
        <w:tc>
          <w:tcPr>
            <w:tcW w:w="2628" w:type="dxa"/>
            <w:vMerge w:val="continue"/>
            <w:vAlign w:val="center"/>
          </w:tcPr>
          <w:p>
            <w:pPr>
              <w:pStyle w:val="36"/>
              <w:rPr>
                <w:highlight w:val="yellow"/>
              </w:rPr>
            </w:pPr>
          </w:p>
        </w:tc>
        <w:tc>
          <w:tcPr>
            <w:tcW w:w="916" w:type="dxa"/>
            <w:vMerge w:val="continue"/>
            <w:vAlign w:val="center"/>
          </w:tcPr>
          <w:p>
            <w:pPr>
              <w:pStyle w:val="36"/>
              <w:rPr>
                <w:highlight w:val="yellow"/>
              </w:rPr>
            </w:pPr>
          </w:p>
        </w:tc>
        <w:tc>
          <w:tcPr>
            <w:tcW w:w="1417" w:type="dxa"/>
            <w:vAlign w:val="center"/>
          </w:tcPr>
          <w:p>
            <w:pPr>
              <w:pStyle w:val="36"/>
            </w:pPr>
            <w:r>
              <w:rPr>
                <w:rFonts w:hint="eastAsia"/>
              </w:rPr>
              <w:t>当园区工业增加值建设期年均增长率&lt;0，≥0.3</w:t>
            </w:r>
          </w:p>
        </w:tc>
        <w:tc>
          <w:tcPr>
            <w:tcW w:w="1134" w:type="dxa"/>
            <w:vMerge w:val="continue"/>
            <w:vAlign w:val="center"/>
          </w:tcPr>
          <w:p>
            <w:pPr>
              <w:pStyle w:val="36"/>
            </w:pPr>
          </w:p>
        </w:tc>
        <w:tc>
          <w:tcPr>
            <w:tcW w:w="1179" w:type="dxa"/>
            <w:vMerge w:val="continue"/>
            <w:vAlign w:val="center"/>
          </w:tcPr>
          <w:p>
            <w:pPr>
              <w:pStyle w:val="36"/>
              <w:rPr>
                <w:highlight w:val="yellow"/>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81" w:type="dxa"/>
            <w:vMerge w:val="continue"/>
            <w:vAlign w:val="center"/>
          </w:tcPr>
          <w:p>
            <w:pPr>
              <w:pStyle w:val="36"/>
              <w:rPr>
                <w:highlight w:val="yellow"/>
              </w:rPr>
            </w:pPr>
          </w:p>
        </w:tc>
        <w:tc>
          <w:tcPr>
            <w:tcW w:w="778" w:type="dxa"/>
            <w:vMerge w:val="restart"/>
            <w:vAlign w:val="center"/>
          </w:tcPr>
          <w:p>
            <w:pPr>
              <w:pStyle w:val="36"/>
              <w:rPr>
                <w:highlight w:val="yellow"/>
              </w:rPr>
            </w:pPr>
            <w:r>
              <w:rPr>
                <w:rFonts w:hint="eastAsia"/>
              </w:rPr>
              <w:t>26</w:t>
            </w:r>
          </w:p>
        </w:tc>
        <w:tc>
          <w:tcPr>
            <w:tcW w:w="2628" w:type="dxa"/>
            <w:vAlign w:val="center"/>
          </w:tcPr>
          <w:p>
            <w:pPr>
              <w:pStyle w:val="36"/>
            </w:pPr>
            <w:r>
              <w:rPr>
                <w:rFonts w:hint="eastAsia"/>
              </w:rPr>
              <w:t>二氧化碳排放量</w:t>
            </w:r>
          </w:p>
        </w:tc>
        <w:tc>
          <w:tcPr>
            <w:tcW w:w="916" w:type="dxa"/>
            <w:vAlign w:val="center"/>
          </w:tcPr>
          <w:p>
            <w:pPr>
              <w:pStyle w:val="36"/>
            </w:pPr>
            <w:r>
              <w:rPr>
                <w:rFonts w:hint="eastAsia"/>
              </w:rPr>
              <w:t>吨</w:t>
            </w:r>
          </w:p>
        </w:tc>
        <w:tc>
          <w:tcPr>
            <w:tcW w:w="1417" w:type="dxa"/>
            <w:vAlign w:val="center"/>
          </w:tcPr>
          <w:p>
            <w:pPr>
              <w:pStyle w:val="36"/>
            </w:pPr>
            <w:r>
              <w:rPr>
                <w:rFonts w:hint="eastAsia"/>
              </w:rPr>
              <w:t>-</w:t>
            </w:r>
          </w:p>
        </w:tc>
        <w:tc>
          <w:tcPr>
            <w:tcW w:w="1134" w:type="dxa"/>
            <w:vAlign w:val="center"/>
          </w:tcPr>
          <w:p>
            <w:pPr>
              <w:pStyle w:val="36"/>
            </w:pPr>
            <w:r>
              <w:rPr>
                <w:rFonts w:hint="eastAsia"/>
              </w:rPr>
              <w:t>-</w:t>
            </w:r>
          </w:p>
        </w:tc>
        <w:tc>
          <w:tcPr>
            <w:tcW w:w="1179" w:type="dxa"/>
            <w:vAlign w:val="center"/>
          </w:tcPr>
          <w:p>
            <w:pPr>
              <w:pStyle w:val="36"/>
              <w:rPr>
                <w:highlight w:val="yellow"/>
              </w:rPr>
            </w:pPr>
            <w:r>
              <w:t>2603881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81" w:type="dxa"/>
            <w:vMerge w:val="continue"/>
            <w:vAlign w:val="center"/>
          </w:tcPr>
          <w:p>
            <w:pPr>
              <w:pStyle w:val="36"/>
              <w:rPr>
                <w:highlight w:val="yellow"/>
              </w:rPr>
            </w:pPr>
          </w:p>
        </w:tc>
        <w:tc>
          <w:tcPr>
            <w:tcW w:w="778" w:type="dxa"/>
            <w:vMerge w:val="continue"/>
            <w:vAlign w:val="center"/>
          </w:tcPr>
          <w:p>
            <w:pPr>
              <w:pStyle w:val="36"/>
              <w:rPr>
                <w:highlight w:val="yellow"/>
              </w:rPr>
            </w:pPr>
          </w:p>
        </w:tc>
        <w:tc>
          <w:tcPr>
            <w:tcW w:w="2628" w:type="dxa"/>
            <w:vAlign w:val="center"/>
          </w:tcPr>
          <w:p>
            <w:pPr>
              <w:pStyle w:val="36"/>
            </w:pPr>
            <w:r>
              <w:rPr>
                <w:rFonts w:hint="eastAsia"/>
              </w:rPr>
              <w:t>规划基准年二氧化碳排放量</w:t>
            </w:r>
          </w:p>
        </w:tc>
        <w:tc>
          <w:tcPr>
            <w:tcW w:w="916" w:type="dxa"/>
            <w:vAlign w:val="center"/>
          </w:tcPr>
          <w:p>
            <w:pPr>
              <w:pStyle w:val="36"/>
            </w:pPr>
            <w:r>
              <w:rPr>
                <w:rFonts w:hint="eastAsia"/>
              </w:rPr>
              <w:t>吨</w:t>
            </w:r>
          </w:p>
        </w:tc>
        <w:tc>
          <w:tcPr>
            <w:tcW w:w="1417" w:type="dxa"/>
            <w:vAlign w:val="center"/>
          </w:tcPr>
          <w:p>
            <w:pPr>
              <w:pStyle w:val="36"/>
            </w:pPr>
            <w:r>
              <w:rPr>
                <w:rFonts w:hint="eastAsia"/>
              </w:rPr>
              <w:t>-</w:t>
            </w:r>
          </w:p>
        </w:tc>
        <w:tc>
          <w:tcPr>
            <w:tcW w:w="1134" w:type="dxa"/>
            <w:vAlign w:val="center"/>
          </w:tcPr>
          <w:p>
            <w:pPr>
              <w:pStyle w:val="36"/>
            </w:pPr>
            <w:r>
              <w:rPr>
                <w:rFonts w:hint="eastAsia"/>
              </w:rPr>
              <w:t>-</w:t>
            </w:r>
          </w:p>
        </w:tc>
        <w:tc>
          <w:tcPr>
            <w:tcW w:w="1179" w:type="dxa"/>
            <w:vAlign w:val="center"/>
          </w:tcPr>
          <w:p>
            <w:pPr>
              <w:pStyle w:val="36"/>
            </w:pPr>
            <w:r>
              <w:rPr>
                <w:rFonts w:hint="eastAsia"/>
              </w:rPr>
              <w:t>1</w:t>
            </w:r>
            <w:r>
              <w:t>0992066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81" w:type="dxa"/>
            <w:vMerge w:val="continue"/>
            <w:vAlign w:val="center"/>
          </w:tcPr>
          <w:p>
            <w:pPr>
              <w:pStyle w:val="36"/>
              <w:rPr>
                <w:highlight w:val="yellow"/>
              </w:rPr>
            </w:pPr>
          </w:p>
        </w:tc>
        <w:tc>
          <w:tcPr>
            <w:tcW w:w="778" w:type="dxa"/>
            <w:vMerge w:val="continue"/>
            <w:vAlign w:val="center"/>
          </w:tcPr>
          <w:p>
            <w:pPr>
              <w:pStyle w:val="36"/>
              <w:rPr>
                <w:highlight w:val="yellow"/>
              </w:rPr>
            </w:pPr>
          </w:p>
        </w:tc>
        <w:tc>
          <w:tcPr>
            <w:tcW w:w="2628" w:type="dxa"/>
            <w:vAlign w:val="center"/>
          </w:tcPr>
          <w:p>
            <w:pPr>
              <w:pStyle w:val="36"/>
            </w:pPr>
            <w:r>
              <w:rPr>
                <w:rFonts w:hint="eastAsia"/>
              </w:rPr>
              <w:t>单位工业增加值二氧化碳排放量年均削减率a</w:t>
            </w:r>
          </w:p>
        </w:tc>
        <w:tc>
          <w:tcPr>
            <w:tcW w:w="916" w:type="dxa"/>
            <w:vAlign w:val="center"/>
          </w:tcPr>
          <w:p>
            <w:pPr>
              <w:pStyle w:val="36"/>
            </w:pPr>
            <w:r>
              <w:rPr>
                <w:rFonts w:hint="eastAsia"/>
              </w:rPr>
              <w:t>%</w:t>
            </w:r>
          </w:p>
        </w:tc>
        <w:tc>
          <w:tcPr>
            <w:tcW w:w="1417" w:type="dxa"/>
            <w:vAlign w:val="center"/>
          </w:tcPr>
          <w:p>
            <w:pPr>
              <w:pStyle w:val="36"/>
            </w:pPr>
            <w:r>
              <w:rPr>
                <w:rFonts w:hint="eastAsia"/>
              </w:rPr>
              <w:t>≥3</w:t>
            </w:r>
          </w:p>
        </w:tc>
        <w:tc>
          <w:tcPr>
            <w:tcW w:w="1134" w:type="dxa"/>
            <w:vAlign w:val="center"/>
          </w:tcPr>
          <w:p>
            <w:pPr>
              <w:pStyle w:val="36"/>
            </w:pPr>
            <w:r>
              <w:rPr>
                <w:rFonts w:hint="eastAsia"/>
              </w:rPr>
              <w:t>必选</w:t>
            </w:r>
          </w:p>
        </w:tc>
        <w:tc>
          <w:tcPr>
            <w:tcW w:w="1179" w:type="dxa"/>
            <w:vAlign w:val="center"/>
          </w:tcPr>
          <w:p>
            <w:pPr>
              <w:pStyle w:val="36"/>
            </w:pPr>
            <w:r>
              <w:t>14.8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81" w:type="dxa"/>
            <w:vMerge w:val="continue"/>
            <w:vAlign w:val="center"/>
          </w:tcPr>
          <w:p>
            <w:pPr>
              <w:pStyle w:val="36"/>
              <w:rPr>
                <w:highlight w:val="yellow"/>
              </w:rPr>
            </w:pPr>
          </w:p>
        </w:tc>
        <w:tc>
          <w:tcPr>
            <w:tcW w:w="778" w:type="dxa"/>
            <w:vMerge w:val="restart"/>
            <w:vAlign w:val="center"/>
          </w:tcPr>
          <w:p>
            <w:pPr>
              <w:pStyle w:val="36"/>
            </w:pPr>
            <w:r>
              <w:rPr>
                <w:rFonts w:hint="eastAsia"/>
              </w:rPr>
              <w:t>27</w:t>
            </w:r>
          </w:p>
        </w:tc>
        <w:tc>
          <w:tcPr>
            <w:tcW w:w="2628" w:type="dxa"/>
            <w:vAlign w:val="center"/>
          </w:tcPr>
          <w:p>
            <w:pPr>
              <w:pStyle w:val="36"/>
            </w:pPr>
            <w:r>
              <w:rPr>
                <w:rFonts w:hint="eastAsia"/>
              </w:rPr>
              <w:t>废水排放量</w:t>
            </w:r>
          </w:p>
        </w:tc>
        <w:tc>
          <w:tcPr>
            <w:tcW w:w="916" w:type="dxa"/>
            <w:vAlign w:val="center"/>
          </w:tcPr>
          <w:p>
            <w:pPr>
              <w:pStyle w:val="36"/>
            </w:pPr>
            <w:r>
              <w:rPr>
                <w:rFonts w:hint="eastAsia"/>
              </w:rPr>
              <w:t>吨</w:t>
            </w:r>
          </w:p>
        </w:tc>
        <w:tc>
          <w:tcPr>
            <w:tcW w:w="1417" w:type="dxa"/>
            <w:vAlign w:val="center"/>
          </w:tcPr>
          <w:p>
            <w:pPr>
              <w:pStyle w:val="36"/>
            </w:pPr>
            <w:r>
              <w:rPr>
                <w:rFonts w:hint="eastAsia"/>
              </w:rPr>
              <w:t>-</w:t>
            </w:r>
          </w:p>
        </w:tc>
        <w:tc>
          <w:tcPr>
            <w:tcW w:w="1134" w:type="dxa"/>
            <w:vAlign w:val="center"/>
          </w:tcPr>
          <w:p>
            <w:pPr>
              <w:pStyle w:val="36"/>
            </w:pPr>
            <w:r>
              <w:rPr>
                <w:rFonts w:hint="eastAsia"/>
              </w:rPr>
              <w:t>-</w:t>
            </w:r>
          </w:p>
        </w:tc>
        <w:tc>
          <w:tcPr>
            <w:tcW w:w="1179" w:type="dxa"/>
            <w:vAlign w:val="center"/>
          </w:tcPr>
          <w:p>
            <w:pPr>
              <w:pStyle w:val="36"/>
            </w:pPr>
            <w:r>
              <w:t>1449735.44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81" w:type="dxa"/>
            <w:vMerge w:val="continue"/>
            <w:vAlign w:val="center"/>
          </w:tcPr>
          <w:p>
            <w:pPr>
              <w:pStyle w:val="36"/>
              <w:rPr>
                <w:highlight w:val="yellow"/>
              </w:rPr>
            </w:pPr>
          </w:p>
        </w:tc>
        <w:tc>
          <w:tcPr>
            <w:tcW w:w="778" w:type="dxa"/>
            <w:vMerge w:val="continue"/>
            <w:vAlign w:val="center"/>
          </w:tcPr>
          <w:p>
            <w:pPr>
              <w:pStyle w:val="36"/>
            </w:pPr>
          </w:p>
        </w:tc>
        <w:tc>
          <w:tcPr>
            <w:tcW w:w="2628" w:type="dxa"/>
            <w:vAlign w:val="center"/>
          </w:tcPr>
          <w:p>
            <w:pPr>
              <w:pStyle w:val="36"/>
            </w:pPr>
            <w:r>
              <w:rPr>
                <w:rFonts w:hint="eastAsia"/>
              </w:rPr>
              <w:t>单位工业增加值废水排放量a</w:t>
            </w:r>
          </w:p>
        </w:tc>
        <w:tc>
          <w:tcPr>
            <w:tcW w:w="916" w:type="dxa"/>
            <w:vAlign w:val="center"/>
          </w:tcPr>
          <w:p>
            <w:pPr>
              <w:pStyle w:val="36"/>
            </w:pPr>
            <w:r>
              <w:rPr>
                <w:rFonts w:hint="eastAsia"/>
              </w:rPr>
              <w:t>吨/万元</w:t>
            </w:r>
          </w:p>
        </w:tc>
        <w:tc>
          <w:tcPr>
            <w:tcW w:w="1417" w:type="dxa"/>
            <w:vAlign w:val="center"/>
          </w:tcPr>
          <w:p>
            <w:pPr>
              <w:pStyle w:val="36"/>
            </w:pPr>
            <w:r>
              <w:rPr>
                <w:rFonts w:hint="eastAsia"/>
              </w:rPr>
              <w:t>≤7</w:t>
            </w:r>
          </w:p>
        </w:tc>
        <w:tc>
          <w:tcPr>
            <w:tcW w:w="1134" w:type="dxa"/>
            <w:vAlign w:val="center"/>
          </w:tcPr>
          <w:p>
            <w:pPr>
              <w:pStyle w:val="36"/>
            </w:pPr>
            <w:r>
              <w:rPr>
                <w:rFonts w:hint="eastAsia"/>
              </w:rPr>
              <w:t>是</w:t>
            </w:r>
          </w:p>
        </w:tc>
        <w:tc>
          <w:tcPr>
            <w:tcW w:w="1179" w:type="dxa"/>
            <w:vAlign w:val="center"/>
          </w:tcPr>
          <w:p>
            <w:pPr>
              <w:pStyle w:val="36"/>
            </w:pPr>
            <w:r>
              <w:rPr>
                <w:rFonts w:hint="eastAsia"/>
              </w:rPr>
              <w:t>0.</w:t>
            </w:r>
            <w:r>
              <w:t>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81" w:type="dxa"/>
            <w:vMerge w:val="continue"/>
            <w:vAlign w:val="center"/>
          </w:tcPr>
          <w:p>
            <w:pPr>
              <w:pStyle w:val="36"/>
              <w:rPr>
                <w:highlight w:val="yellow"/>
              </w:rPr>
            </w:pPr>
          </w:p>
        </w:tc>
        <w:tc>
          <w:tcPr>
            <w:tcW w:w="778" w:type="dxa"/>
            <w:vMerge w:val="restart"/>
            <w:vAlign w:val="center"/>
          </w:tcPr>
          <w:p>
            <w:pPr>
              <w:pStyle w:val="36"/>
            </w:pPr>
            <w:r>
              <w:rPr>
                <w:rFonts w:hint="eastAsia"/>
              </w:rPr>
              <w:t>28</w:t>
            </w:r>
          </w:p>
        </w:tc>
        <w:tc>
          <w:tcPr>
            <w:tcW w:w="2628" w:type="dxa"/>
            <w:vAlign w:val="center"/>
          </w:tcPr>
          <w:p>
            <w:pPr>
              <w:pStyle w:val="36"/>
            </w:pPr>
            <w:r>
              <w:rPr>
                <w:rFonts w:hint="eastAsia"/>
              </w:rPr>
              <w:t>固废产生量</w:t>
            </w:r>
          </w:p>
        </w:tc>
        <w:tc>
          <w:tcPr>
            <w:tcW w:w="916" w:type="dxa"/>
            <w:vAlign w:val="center"/>
          </w:tcPr>
          <w:p>
            <w:pPr>
              <w:pStyle w:val="36"/>
            </w:pPr>
            <w:r>
              <w:rPr>
                <w:rFonts w:hint="eastAsia"/>
              </w:rPr>
              <w:t>吨</w:t>
            </w:r>
          </w:p>
        </w:tc>
        <w:tc>
          <w:tcPr>
            <w:tcW w:w="1417" w:type="dxa"/>
            <w:vAlign w:val="center"/>
          </w:tcPr>
          <w:p>
            <w:pPr>
              <w:pStyle w:val="36"/>
            </w:pPr>
            <w:r>
              <w:rPr>
                <w:rFonts w:hint="eastAsia"/>
              </w:rPr>
              <w:t>-</w:t>
            </w:r>
          </w:p>
        </w:tc>
        <w:tc>
          <w:tcPr>
            <w:tcW w:w="1134" w:type="dxa"/>
            <w:vAlign w:val="center"/>
          </w:tcPr>
          <w:p>
            <w:pPr>
              <w:pStyle w:val="36"/>
            </w:pPr>
            <w:r>
              <w:rPr>
                <w:rFonts w:hint="eastAsia"/>
              </w:rPr>
              <w:t>-</w:t>
            </w:r>
          </w:p>
        </w:tc>
        <w:tc>
          <w:tcPr>
            <w:tcW w:w="1179" w:type="dxa"/>
            <w:vAlign w:val="center"/>
          </w:tcPr>
          <w:p>
            <w:pPr>
              <w:pStyle w:val="36"/>
            </w:pPr>
            <w:r>
              <w:rPr>
                <w:rFonts w:hint="eastAsia"/>
              </w:rPr>
              <w:t>1</w:t>
            </w:r>
            <w:r>
              <w:t>76234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81" w:type="dxa"/>
            <w:vMerge w:val="continue"/>
            <w:vAlign w:val="center"/>
          </w:tcPr>
          <w:p>
            <w:pPr>
              <w:pStyle w:val="36"/>
              <w:rPr>
                <w:highlight w:val="yellow"/>
              </w:rPr>
            </w:pPr>
          </w:p>
        </w:tc>
        <w:tc>
          <w:tcPr>
            <w:tcW w:w="778" w:type="dxa"/>
            <w:vMerge w:val="continue"/>
            <w:vAlign w:val="center"/>
          </w:tcPr>
          <w:p>
            <w:pPr>
              <w:pStyle w:val="36"/>
            </w:pPr>
          </w:p>
        </w:tc>
        <w:tc>
          <w:tcPr>
            <w:tcW w:w="2628" w:type="dxa"/>
            <w:vAlign w:val="center"/>
          </w:tcPr>
          <w:p>
            <w:pPr>
              <w:pStyle w:val="36"/>
            </w:pPr>
            <w:r>
              <w:rPr>
                <w:rFonts w:hint="eastAsia"/>
              </w:rPr>
              <w:t>单位工业增加值固废产生量a</w:t>
            </w:r>
          </w:p>
        </w:tc>
        <w:tc>
          <w:tcPr>
            <w:tcW w:w="916" w:type="dxa"/>
            <w:vAlign w:val="center"/>
          </w:tcPr>
          <w:p>
            <w:pPr>
              <w:pStyle w:val="36"/>
            </w:pPr>
            <w:r>
              <w:rPr>
                <w:rFonts w:hint="eastAsia"/>
              </w:rPr>
              <w:t>吨/万元</w:t>
            </w:r>
          </w:p>
        </w:tc>
        <w:tc>
          <w:tcPr>
            <w:tcW w:w="1417" w:type="dxa"/>
            <w:vAlign w:val="center"/>
          </w:tcPr>
          <w:p>
            <w:pPr>
              <w:pStyle w:val="36"/>
            </w:pPr>
            <w:r>
              <w:rPr>
                <w:rFonts w:hint="eastAsia"/>
              </w:rPr>
              <w:t>≤0.1</w:t>
            </w:r>
          </w:p>
        </w:tc>
        <w:tc>
          <w:tcPr>
            <w:tcW w:w="1134" w:type="dxa"/>
            <w:vAlign w:val="center"/>
          </w:tcPr>
          <w:p>
            <w:pPr>
              <w:pStyle w:val="36"/>
            </w:pPr>
            <w:r>
              <w:rPr>
                <w:rFonts w:hint="eastAsia"/>
              </w:rPr>
              <w:t>是</w:t>
            </w:r>
          </w:p>
        </w:tc>
        <w:tc>
          <w:tcPr>
            <w:tcW w:w="1179" w:type="dxa"/>
            <w:vAlign w:val="center"/>
          </w:tcPr>
          <w:p>
            <w:pPr>
              <w:pStyle w:val="36"/>
            </w:pPr>
            <w:r>
              <w:t>0.07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81" w:type="dxa"/>
            <w:vMerge w:val="continue"/>
            <w:vAlign w:val="center"/>
          </w:tcPr>
          <w:p>
            <w:pPr>
              <w:pStyle w:val="36"/>
              <w:rPr>
                <w:highlight w:val="yellow"/>
              </w:rPr>
            </w:pPr>
          </w:p>
        </w:tc>
        <w:tc>
          <w:tcPr>
            <w:tcW w:w="778" w:type="dxa"/>
            <w:vAlign w:val="center"/>
          </w:tcPr>
          <w:p>
            <w:pPr>
              <w:pStyle w:val="36"/>
            </w:pPr>
            <w:r>
              <w:rPr>
                <w:rFonts w:hint="eastAsia"/>
              </w:rPr>
              <w:t>29</w:t>
            </w:r>
          </w:p>
        </w:tc>
        <w:tc>
          <w:tcPr>
            <w:tcW w:w="2628" w:type="dxa"/>
            <w:vAlign w:val="center"/>
          </w:tcPr>
          <w:p>
            <w:pPr>
              <w:pStyle w:val="36"/>
            </w:pPr>
            <w:r>
              <w:rPr>
                <w:rFonts w:hint="eastAsia"/>
              </w:rPr>
              <w:t>绿化覆盖率</w:t>
            </w:r>
          </w:p>
        </w:tc>
        <w:tc>
          <w:tcPr>
            <w:tcW w:w="916" w:type="dxa"/>
            <w:vAlign w:val="center"/>
          </w:tcPr>
          <w:p>
            <w:pPr>
              <w:pStyle w:val="36"/>
            </w:pPr>
            <w:r>
              <w:rPr>
                <w:rFonts w:hint="eastAsia"/>
              </w:rPr>
              <w:t>%</w:t>
            </w:r>
          </w:p>
        </w:tc>
        <w:tc>
          <w:tcPr>
            <w:tcW w:w="1417" w:type="dxa"/>
            <w:vAlign w:val="center"/>
          </w:tcPr>
          <w:p>
            <w:pPr>
              <w:pStyle w:val="36"/>
            </w:pPr>
            <w:r>
              <w:rPr>
                <w:rFonts w:hint="eastAsia"/>
              </w:rPr>
              <w:t>≥15</w:t>
            </w:r>
          </w:p>
        </w:tc>
        <w:tc>
          <w:tcPr>
            <w:tcW w:w="1134" w:type="dxa"/>
            <w:vAlign w:val="center"/>
          </w:tcPr>
          <w:p>
            <w:pPr>
              <w:pStyle w:val="36"/>
            </w:pPr>
            <w:r>
              <w:rPr>
                <w:rFonts w:hint="eastAsia"/>
              </w:rPr>
              <w:t>必选</w:t>
            </w:r>
          </w:p>
        </w:tc>
        <w:tc>
          <w:tcPr>
            <w:tcW w:w="1179" w:type="dxa"/>
            <w:vAlign w:val="center"/>
          </w:tcPr>
          <w:p>
            <w:pPr>
              <w:pStyle w:val="36"/>
            </w:pPr>
            <w:r>
              <w:rPr>
                <w:rFonts w:hint="eastAsia"/>
              </w:rPr>
              <w:t>2</w:t>
            </w:r>
            <w:r>
              <w:t>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81" w:type="dxa"/>
            <w:vMerge w:val="restart"/>
            <w:vAlign w:val="center"/>
          </w:tcPr>
          <w:p>
            <w:pPr>
              <w:pStyle w:val="36"/>
            </w:pPr>
            <w:r>
              <w:rPr>
                <w:rFonts w:hint="eastAsia"/>
              </w:rPr>
              <w:t xml:space="preserve">信息公开 </w:t>
            </w:r>
          </w:p>
        </w:tc>
        <w:tc>
          <w:tcPr>
            <w:tcW w:w="778" w:type="dxa"/>
            <w:vAlign w:val="center"/>
          </w:tcPr>
          <w:p>
            <w:pPr>
              <w:pStyle w:val="36"/>
            </w:pPr>
            <w:r>
              <w:rPr>
                <w:rFonts w:hint="eastAsia"/>
              </w:rPr>
              <w:t>30</w:t>
            </w:r>
          </w:p>
        </w:tc>
        <w:tc>
          <w:tcPr>
            <w:tcW w:w="2628" w:type="dxa"/>
            <w:vAlign w:val="center"/>
          </w:tcPr>
          <w:p>
            <w:pPr>
              <w:pStyle w:val="36"/>
            </w:pPr>
            <w:r>
              <w:rPr>
                <w:rFonts w:hint="eastAsia"/>
              </w:rPr>
              <w:t>重点企业环境信息公开率</w:t>
            </w:r>
          </w:p>
        </w:tc>
        <w:tc>
          <w:tcPr>
            <w:tcW w:w="916" w:type="dxa"/>
            <w:vAlign w:val="center"/>
          </w:tcPr>
          <w:p>
            <w:pPr>
              <w:pStyle w:val="36"/>
            </w:pPr>
            <w:r>
              <w:rPr>
                <w:rFonts w:hint="eastAsia"/>
              </w:rPr>
              <w:t>%</w:t>
            </w:r>
          </w:p>
        </w:tc>
        <w:tc>
          <w:tcPr>
            <w:tcW w:w="1417" w:type="dxa"/>
            <w:vAlign w:val="center"/>
          </w:tcPr>
          <w:p>
            <w:pPr>
              <w:pStyle w:val="36"/>
            </w:pPr>
            <w:r>
              <w:rPr>
                <w:rFonts w:hint="eastAsia"/>
              </w:rPr>
              <w:t>100</w:t>
            </w:r>
          </w:p>
        </w:tc>
        <w:tc>
          <w:tcPr>
            <w:tcW w:w="1134" w:type="dxa"/>
            <w:vAlign w:val="center"/>
          </w:tcPr>
          <w:p>
            <w:pPr>
              <w:pStyle w:val="36"/>
            </w:pPr>
            <w:r>
              <w:rPr>
                <w:rFonts w:hint="eastAsia"/>
              </w:rPr>
              <w:t>必选</w:t>
            </w:r>
          </w:p>
        </w:tc>
        <w:tc>
          <w:tcPr>
            <w:tcW w:w="1179" w:type="dxa"/>
            <w:vAlign w:val="center"/>
          </w:tcPr>
          <w:p>
            <w:pPr>
              <w:pStyle w:val="36"/>
            </w:pPr>
            <w:r>
              <w:rPr>
                <w:rFonts w:hint="eastAsia"/>
              </w:rPr>
              <w:t>1</w:t>
            </w:r>
            <w:r>
              <w:t>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81" w:type="dxa"/>
            <w:vMerge w:val="continue"/>
            <w:vAlign w:val="center"/>
          </w:tcPr>
          <w:p>
            <w:pPr>
              <w:pStyle w:val="36"/>
            </w:pPr>
          </w:p>
        </w:tc>
        <w:tc>
          <w:tcPr>
            <w:tcW w:w="778" w:type="dxa"/>
            <w:vAlign w:val="center"/>
          </w:tcPr>
          <w:p>
            <w:pPr>
              <w:pStyle w:val="36"/>
            </w:pPr>
            <w:r>
              <w:rPr>
                <w:rFonts w:hint="eastAsia"/>
              </w:rPr>
              <w:t>31</w:t>
            </w:r>
          </w:p>
        </w:tc>
        <w:tc>
          <w:tcPr>
            <w:tcW w:w="2628" w:type="dxa"/>
            <w:vAlign w:val="center"/>
          </w:tcPr>
          <w:p>
            <w:pPr>
              <w:pStyle w:val="36"/>
            </w:pPr>
            <w:r>
              <w:rPr>
                <w:rFonts w:hint="eastAsia"/>
              </w:rPr>
              <w:t>生态工业信息平台完善程度</w:t>
            </w:r>
          </w:p>
        </w:tc>
        <w:tc>
          <w:tcPr>
            <w:tcW w:w="916" w:type="dxa"/>
            <w:vAlign w:val="center"/>
          </w:tcPr>
          <w:p>
            <w:pPr>
              <w:pStyle w:val="36"/>
            </w:pPr>
            <w:r>
              <w:rPr>
                <w:rFonts w:hint="eastAsia"/>
              </w:rPr>
              <w:t>%</w:t>
            </w:r>
          </w:p>
        </w:tc>
        <w:tc>
          <w:tcPr>
            <w:tcW w:w="1417" w:type="dxa"/>
            <w:vAlign w:val="center"/>
          </w:tcPr>
          <w:p>
            <w:pPr>
              <w:pStyle w:val="36"/>
            </w:pPr>
            <w:r>
              <w:rPr>
                <w:rFonts w:hint="eastAsia"/>
              </w:rPr>
              <w:t>100</w:t>
            </w:r>
          </w:p>
        </w:tc>
        <w:tc>
          <w:tcPr>
            <w:tcW w:w="1134" w:type="dxa"/>
            <w:vAlign w:val="center"/>
          </w:tcPr>
          <w:p>
            <w:pPr>
              <w:pStyle w:val="36"/>
            </w:pPr>
            <w:r>
              <w:rPr>
                <w:rFonts w:hint="eastAsia"/>
              </w:rPr>
              <w:t>必选</w:t>
            </w:r>
          </w:p>
        </w:tc>
        <w:tc>
          <w:tcPr>
            <w:tcW w:w="1179" w:type="dxa"/>
            <w:vAlign w:val="center"/>
          </w:tcPr>
          <w:p>
            <w:pPr>
              <w:pStyle w:val="36"/>
            </w:pPr>
            <w:r>
              <w:rPr>
                <w:rFonts w:hint="eastAsia"/>
              </w:rPr>
              <w:t>1</w:t>
            </w:r>
            <w:r>
              <w:t>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81" w:type="dxa"/>
            <w:vMerge w:val="continue"/>
            <w:vAlign w:val="center"/>
          </w:tcPr>
          <w:p>
            <w:pPr>
              <w:pStyle w:val="36"/>
            </w:pPr>
          </w:p>
        </w:tc>
        <w:tc>
          <w:tcPr>
            <w:tcW w:w="778" w:type="dxa"/>
            <w:vAlign w:val="center"/>
          </w:tcPr>
          <w:p>
            <w:pPr>
              <w:pStyle w:val="36"/>
            </w:pPr>
            <w:r>
              <w:rPr>
                <w:rFonts w:hint="eastAsia"/>
              </w:rPr>
              <w:t>32</w:t>
            </w:r>
          </w:p>
        </w:tc>
        <w:tc>
          <w:tcPr>
            <w:tcW w:w="2628" w:type="dxa"/>
            <w:vAlign w:val="center"/>
          </w:tcPr>
          <w:p>
            <w:pPr>
              <w:pStyle w:val="36"/>
            </w:pPr>
            <w:r>
              <w:rPr>
                <w:rFonts w:hint="eastAsia"/>
              </w:rPr>
              <w:t>生态工业主题宣传活动</w:t>
            </w:r>
          </w:p>
        </w:tc>
        <w:tc>
          <w:tcPr>
            <w:tcW w:w="916" w:type="dxa"/>
            <w:vAlign w:val="center"/>
          </w:tcPr>
          <w:p>
            <w:pPr>
              <w:pStyle w:val="36"/>
            </w:pPr>
            <w:r>
              <w:rPr>
                <w:rFonts w:hint="eastAsia"/>
              </w:rPr>
              <w:t>次/年</w:t>
            </w:r>
          </w:p>
        </w:tc>
        <w:tc>
          <w:tcPr>
            <w:tcW w:w="1417" w:type="dxa"/>
            <w:vAlign w:val="center"/>
          </w:tcPr>
          <w:p>
            <w:pPr>
              <w:pStyle w:val="36"/>
            </w:pPr>
            <w:r>
              <w:rPr>
                <w:rFonts w:hint="eastAsia"/>
              </w:rPr>
              <w:t>≥2</w:t>
            </w:r>
          </w:p>
        </w:tc>
        <w:tc>
          <w:tcPr>
            <w:tcW w:w="1134" w:type="dxa"/>
            <w:vAlign w:val="center"/>
          </w:tcPr>
          <w:p>
            <w:pPr>
              <w:pStyle w:val="36"/>
            </w:pPr>
            <w:r>
              <w:rPr>
                <w:rFonts w:hint="eastAsia"/>
              </w:rPr>
              <w:t>必选</w:t>
            </w:r>
          </w:p>
        </w:tc>
        <w:tc>
          <w:tcPr>
            <w:tcW w:w="1179" w:type="dxa"/>
            <w:vAlign w:val="center"/>
          </w:tcPr>
          <w:p>
            <w:pPr>
              <w:pStyle w:val="36"/>
            </w:pPr>
            <w:r>
              <w:rPr>
                <w:rFonts w:hint="eastAsia"/>
              </w:rPr>
              <w:t>2</w:t>
            </w:r>
          </w:p>
        </w:tc>
      </w:tr>
    </w:tbl>
    <w:p>
      <w:pPr>
        <w:pStyle w:val="36"/>
      </w:pPr>
    </w:p>
    <w:sectPr>
      <w:pgSz w:w="11906" w:h="16838"/>
      <w:pgMar w:top="1701" w:right="1531" w:bottom="1701" w:left="1531" w:header="851" w:footer="1077"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ind w:firstLine="560"/>
      <w:rPr>
        <w:rStyle w:val="17"/>
        <w:rFonts w:ascii="宋体" w:hAnsi="宋体"/>
        <w:sz w:val="28"/>
      </w:rPr>
    </w:pPr>
    <w:r>
      <w:rPr>
        <w:rStyle w:val="17"/>
        <w:rFonts w:hint="eastAsia" w:ascii="宋体" w:hAnsi="宋体"/>
        <w:sz w:val="28"/>
      </w:rPr>
      <w:t>—</w:t>
    </w:r>
    <w:r>
      <w:rPr>
        <w:rStyle w:val="17"/>
        <w:rFonts w:hint="eastAsia" w:ascii="宋体" w:hAnsi="宋体"/>
        <w:sz w:val="20"/>
      </w:rPr>
      <w:t xml:space="preserve"> </w:t>
    </w:r>
    <w:r>
      <w:rPr>
        <w:rFonts w:ascii="宋体" w:hAnsi="宋体"/>
        <w:sz w:val="26"/>
      </w:rPr>
      <w:fldChar w:fldCharType="begin"/>
    </w:r>
    <w:r>
      <w:rPr>
        <w:rStyle w:val="17"/>
        <w:rFonts w:ascii="宋体" w:hAnsi="宋体"/>
        <w:sz w:val="26"/>
      </w:rPr>
      <w:instrText xml:space="preserve">PAGE  </w:instrText>
    </w:r>
    <w:r>
      <w:rPr>
        <w:rFonts w:ascii="宋体" w:hAnsi="宋体"/>
        <w:sz w:val="26"/>
      </w:rPr>
      <w:fldChar w:fldCharType="separate"/>
    </w:r>
    <w:r>
      <w:rPr>
        <w:rStyle w:val="17"/>
        <w:rFonts w:ascii="宋体" w:hAnsi="宋体"/>
        <w:sz w:val="26"/>
      </w:rPr>
      <w:t>19</w:t>
    </w:r>
    <w:r>
      <w:rPr>
        <w:rFonts w:ascii="宋体" w:hAnsi="宋体"/>
        <w:sz w:val="26"/>
      </w:rPr>
      <w:fldChar w:fldCharType="end"/>
    </w:r>
    <w:r>
      <w:rPr>
        <w:rStyle w:val="17"/>
        <w:rFonts w:hint="eastAsia" w:ascii="宋体" w:hAnsi="宋体"/>
        <w:sz w:val="20"/>
      </w:rPr>
      <w:t xml:space="preserve"> </w:t>
    </w:r>
    <w:r>
      <w:rPr>
        <w:rStyle w:val="17"/>
        <w:rFonts w:hint="eastAsia" w:ascii="宋体" w:hAnsi="宋体"/>
        <w:sz w:val="28"/>
      </w:rPr>
      <w:t>—</w:t>
    </w:r>
  </w:p>
  <w:p>
    <w:pPr>
      <w:pStyle w:val="8"/>
      <w:ind w:right="360" w:firstLine="360"/>
      <w:rPr>
        <w:rFonts w:ascii="宋体" w:hAns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ind w:firstLine="360"/>
      <w:rPr>
        <w:rStyle w:val="17"/>
      </w:rPr>
    </w:pPr>
    <w:r>
      <w:fldChar w:fldCharType="begin"/>
    </w:r>
    <w:r>
      <w:rPr>
        <w:rStyle w:val="17"/>
      </w:rPr>
      <w:instrText xml:space="preserve">PAGE  </w:instrText>
    </w:r>
    <w:r>
      <w:fldChar w:fldCharType="separate"/>
    </w:r>
    <w:r>
      <w:rPr>
        <w:rStyle w:val="17"/>
      </w:rPr>
      <w:t>3</w:t>
    </w:r>
    <w:r>
      <w:fldChar w:fldCharType="end"/>
    </w:r>
  </w:p>
  <w:p>
    <w:pPr>
      <w:pStyle w:val="8"/>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UyNTE0MDkxNTE2YTVmMzJlODE4ZWIyZDk2M2UxZTYifQ=="/>
  </w:docVars>
  <w:rsids>
    <w:rsidRoot w:val="00172A27"/>
    <w:rsid w:val="00000003"/>
    <w:rsid w:val="00000095"/>
    <w:rsid w:val="00001910"/>
    <w:rsid w:val="000044B9"/>
    <w:rsid w:val="000072ED"/>
    <w:rsid w:val="00014518"/>
    <w:rsid w:val="00021B84"/>
    <w:rsid w:val="000223F1"/>
    <w:rsid w:val="000237C5"/>
    <w:rsid w:val="00026651"/>
    <w:rsid w:val="00035EF0"/>
    <w:rsid w:val="000375D0"/>
    <w:rsid w:val="0004144C"/>
    <w:rsid w:val="000421D9"/>
    <w:rsid w:val="00042E1B"/>
    <w:rsid w:val="00045655"/>
    <w:rsid w:val="0005065B"/>
    <w:rsid w:val="00051DCC"/>
    <w:rsid w:val="00053CBD"/>
    <w:rsid w:val="00055911"/>
    <w:rsid w:val="00064514"/>
    <w:rsid w:val="00066239"/>
    <w:rsid w:val="00066890"/>
    <w:rsid w:val="00067679"/>
    <w:rsid w:val="00072BD3"/>
    <w:rsid w:val="00076FDF"/>
    <w:rsid w:val="000770E9"/>
    <w:rsid w:val="000824BD"/>
    <w:rsid w:val="00085AB4"/>
    <w:rsid w:val="00085AC1"/>
    <w:rsid w:val="00090D7D"/>
    <w:rsid w:val="000A1476"/>
    <w:rsid w:val="000A2817"/>
    <w:rsid w:val="000A45B2"/>
    <w:rsid w:val="000A70D1"/>
    <w:rsid w:val="000B07BB"/>
    <w:rsid w:val="000B07D4"/>
    <w:rsid w:val="000B2C3D"/>
    <w:rsid w:val="000B322A"/>
    <w:rsid w:val="000B3882"/>
    <w:rsid w:val="000B5AE0"/>
    <w:rsid w:val="000B5EA4"/>
    <w:rsid w:val="000B5EF2"/>
    <w:rsid w:val="000B733F"/>
    <w:rsid w:val="000B7DDB"/>
    <w:rsid w:val="000C1C09"/>
    <w:rsid w:val="000C2DBB"/>
    <w:rsid w:val="000D2B99"/>
    <w:rsid w:val="000D7E87"/>
    <w:rsid w:val="000E099E"/>
    <w:rsid w:val="000E30E6"/>
    <w:rsid w:val="000E4035"/>
    <w:rsid w:val="000F15D5"/>
    <w:rsid w:val="000F2369"/>
    <w:rsid w:val="000F4B74"/>
    <w:rsid w:val="000F577E"/>
    <w:rsid w:val="000F76E4"/>
    <w:rsid w:val="000F7DBB"/>
    <w:rsid w:val="00100CB0"/>
    <w:rsid w:val="001018C7"/>
    <w:rsid w:val="001129B4"/>
    <w:rsid w:val="001157D8"/>
    <w:rsid w:val="00116E84"/>
    <w:rsid w:val="00117775"/>
    <w:rsid w:val="001209E6"/>
    <w:rsid w:val="00121B0F"/>
    <w:rsid w:val="00122B85"/>
    <w:rsid w:val="0012307C"/>
    <w:rsid w:val="0012536C"/>
    <w:rsid w:val="00126FAB"/>
    <w:rsid w:val="001302AB"/>
    <w:rsid w:val="00132F28"/>
    <w:rsid w:val="001339F3"/>
    <w:rsid w:val="00140616"/>
    <w:rsid w:val="00140D8E"/>
    <w:rsid w:val="0014627D"/>
    <w:rsid w:val="00147C09"/>
    <w:rsid w:val="001548D0"/>
    <w:rsid w:val="00155FB5"/>
    <w:rsid w:val="00162633"/>
    <w:rsid w:val="001630D1"/>
    <w:rsid w:val="001641D9"/>
    <w:rsid w:val="0016743E"/>
    <w:rsid w:val="001713E3"/>
    <w:rsid w:val="00171CD3"/>
    <w:rsid w:val="00172A27"/>
    <w:rsid w:val="001768AA"/>
    <w:rsid w:val="00177761"/>
    <w:rsid w:val="0018097E"/>
    <w:rsid w:val="001811E1"/>
    <w:rsid w:val="00184BFE"/>
    <w:rsid w:val="001864C9"/>
    <w:rsid w:val="00186520"/>
    <w:rsid w:val="00190DA5"/>
    <w:rsid w:val="00194150"/>
    <w:rsid w:val="00197EC7"/>
    <w:rsid w:val="001A01A9"/>
    <w:rsid w:val="001A1D6F"/>
    <w:rsid w:val="001A4A27"/>
    <w:rsid w:val="001A5AC6"/>
    <w:rsid w:val="001A6027"/>
    <w:rsid w:val="001A67A2"/>
    <w:rsid w:val="001C0873"/>
    <w:rsid w:val="001C36D2"/>
    <w:rsid w:val="001C4F79"/>
    <w:rsid w:val="001C5A75"/>
    <w:rsid w:val="001C66A5"/>
    <w:rsid w:val="001D2754"/>
    <w:rsid w:val="001D3FAA"/>
    <w:rsid w:val="001D63E1"/>
    <w:rsid w:val="001D6D77"/>
    <w:rsid w:val="001D7B83"/>
    <w:rsid w:val="001E470F"/>
    <w:rsid w:val="001E63A9"/>
    <w:rsid w:val="001F0291"/>
    <w:rsid w:val="00200B05"/>
    <w:rsid w:val="00201C68"/>
    <w:rsid w:val="0021133C"/>
    <w:rsid w:val="00211717"/>
    <w:rsid w:val="0021628D"/>
    <w:rsid w:val="0021750B"/>
    <w:rsid w:val="0022695D"/>
    <w:rsid w:val="00231B9E"/>
    <w:rsid w:val="00232CF5"/>
    <w:rsid w:val="0023684F"/>
    <w:rsid w:val="00237BCE"/>
    <w:rsid w:val="00242338"/>
    <w:rsid w:val="00242B3C"/>
    <w:rsid w:val="002436EC"/>
    <w:rsid w:val="002458D2"/>
    <w:rsid w:val="00250105"/>
    <w:rsid w:val="00252053"/>
    <w:rsid w:val="00256BE9"/>
    <w:rsid w:val="00261CE4"/>
    <w:rsid w:val="002644D1"/>
    <w:rsid w:val="002655C6"/>
    <w:rsid w:val="00271145"/>
    <w:rsid w:val="00272962"/>
    <w:rsid w:val="00275220"/>
    <w:rsid w:val="00275886"/>
    <w:rsid w:val="002764A5"/>
    <w:rsid w:val="0027730D"/>
    <w:rsid w:val="00281236"/>
    <w:rsid w:val="002849C9"/>
    <w:rsid w:val="00285A9C"/>
    <w:rsid w:val="0028750A"/>
    <w:rsid w:val="00292D16"/>
    <w:rsid w:val="002A14BA"/>
    <w:rsid w:val="002A3F2F"/>
    <w:rsid w:val="002A4920"/>
    <w:rsid w:val="002A68AA"/>
    <w:rsid w:val="002B244B"/>
    <w:rsid w:val="002B30A9"/>
    <w:rsid w:val="002B634F"/>
    <w:rsid w:val="002B6B28"/>
    <w:rsid w:val="002B6ED9"/>
    <w:rsid w:val="002C02E4"/>
    <w:rsid w:val="002C2F61"/>
    <w:rsid w:val="002C366B"/>
    <w:rsid w:val="002C4046"/>
    <w:rsid w:val="002C4A76"/>
    <w:rsid w:val="002C5D5B"/>
    <w:rsid w:val="002C5FA1"/>
    <w:rsid w:val="002D0B01"/>
    <w:rsid w:val="002D10A8"/>
    <w:rsid w:val="002D2773"/>
    <w:rsid w:val="002D7532"/>
    <w:rsid w:val="002E18BE"/>
    <w:rsid w:val="002E684C"/>
    <w:rsid w:val="002E78EF"/>
    <w:rsid w:val="002F5754"/>
    <w:rsid w:val="00300213"/>
    <w:rsid w:val="00302053"/>
    <w:rsid w:val="003113D1"/>
    <w:rsid w:val="00313D16"/>
    <w:rsid w:val="00315A3D"/>
    <w:rsid w:val="003208EE"/>
    <w:rsid w:val="00323C41"/>
    <w:rsid w:val="003260D5"/>
    <w:rsid w:val="00330722"/>
    <w:rsid w:val="003326EB"/>
    <w:rsid w:val="00332C1C"/>
    <w:rsid w:val="00342C94"/>
    <w:rsid w:val="00342E03"/>
    <w:rsid w:val="00343DE2"/>
    <w:rsid w:val="003440E7"/>
    <w:rsid w:val="00345C24"/>
    <w:rsid w:val="003551A2"/>
    <w:rsid w:val="00356222"/>
    <w:rsid w:val="00356385"/>
    <w:rsid w:val="00362381"/>
    <w:rsid w:val="003759A0"/>
    <w:rsid w:val="003803B0"/>
    <w:rsid w:val="0038237E"/>
    <w:rsid w:val="003835BC"/>
    <w:rsid w:val="003931C3"/>
    <w:rsid w:val="0039592A"/>
    <w:rsid w:val="00395A76"/>
    <w:rsid w:val="003A2DEF"/>
    <w:rsid w:val="003A31A2"/>
    <w:rsid w:val="003A3378"/>
    <w:rsid w:val="003A47F6"/>
    <w:rsid w:val="003B3A71"/>
    <w:rsid w:val="003B74A0"/>
    <w:rsid w:val="003B77E6"/>
    <w:rsid w:val="003C08B5"/>
    <w:rsid w:val="003C3E16"/>
    <w:rsid w:val="003C5887"/>
    <w:rsid w:val="003C5903"/>
    <w:rsid w:val="003C6569"/>
    <w:rsid w:val="003D28D5"/>
    <w:rsid w:val="003D2C35"/>
    <w:rsid w:val="003D2D52"/>
    <w:rsid w:val="003D4842"/>
    <w:rsid w:val="003E567F"/>
    <w:rsid w:val="003E5B5C"/>
    <w:rsid w:val="003E5C04"/>
    <w:rsid w:val="003E6A7C"/>
    <w:rsid w:val="003E789E"/>
    <w:rsid w:val="003E7AFB"/>
    <w:rsid w:val="003F0D5C"/>
    <w:rsid w:val="003F0F4F"/>
    <w:rsid w:val="003F2289"/>
    <w:rsid w:val="004000DF"/>
    <w:rsid w:val="004012CA"/>
    <w:rsid w:val="004021BD"/>
    <w:rsid w:val="00403D2C"/>
    <w:rsid w:val="004042CA"/>
    <w:rsid w:val="00404AA6"/>
    <w:rsid w:val="0041033B"/>
    <w:rsid w:val="00411CC0"/>
    <w:rsid w:val="00412378"/>
    <w:rsid w:val="00415BBA"/>
    <w:rsid w:val="00417EBF"/>
    <w:rsid w:val="004209C2"/>
    <w:rsid w:val="00421287"/>
    <w:rsid w:val="00422993"/>
    <w:rsid w:val="00424547"/>
    <w:rsid w:val="00426111"/>
    <w:rsid w:val="00427EE4"/>
    <w:rsid w:val="00430D6E"/>
    <w:rsid w:val="0043476C"/>
    <w:rsid w:val="00434F4B"/>
    <w:rsid w:val="0043546C"/>
    <w:rsid w:val="00435D4C"/>
    <w:rsid w:val="00440C55"/>
    <w:rsid w:val="0044781B"/>
    <w:rsid w:val="004518C4"/>
    <w:rsid w:val="00455A38"/>
    <w:rsid w:val="00460DD5"/>
    <w:rsid w:val="00470906"/>
    <w:rsid w:val="004728A6"/>
    <w:rsid w:val="0047417E"/>
    <w:rsid w:val="004746E4"/>
    <w:rsid w:val="004751AA"/>
    <w:rsid w:val="00475D0A"/>
    <w:rsid w:val="00475F87"/>
    <w:rsid w:val="004761F1"/>
    <w:rsid w:val="0047636E"/>
    <w:rsid w:val="00480EE8"/>
    <w:rsid w:val="0048284A"/>
    <w:rsid w:val="00486E18"/>
    <w:rsid w:val="00487D23"/>
    <w:rsid w:val="0049033D"/>
    <w:rsid w:val="00491CD9"/>
    <w:rsid w:val="00492C08"/>
    <w:rsid w:val="00493A86"/>
    <w:rsid w:val="00494539"/>
    <w:rsid w:val="0049473C"/>
    <w:rsid w:val="00496EF1"/>
    <w:rsid w:val="004A0CC4"/>
    <w:rsid w:val="004A0F0D"/>
    <w:rsid w:val="004A1E6A"/>
    <w:rsid w:val="004A352B"/>
    <w:rsid w:val="004A67C9"/>
    <w:rsid w:val="004A6896"/>
    <w:rsid w:val="004B401D"/>
    <w:rsid w:val="004B580D"/>
    <w:rsid w:val="004B77C2"/>
    <w:rsid w:val="004C1EEE"/>
    <w:rsid w:val="004C4934"/>
    <w:rsid w:val="004C753E"/>
    <w:rsid w:val="004C787D"/>
    <w:rsid w:val="004C7DCF"/>
    <w:rsid w:val="004D348B"/>
    <w:rsid w:val="004D54FF"/>
    <w:rsid w:val="004D6BCF"/>
    <w:rsid w:val="004E770B"/>
    <w:rsid w:val="004F0577"/>
    <w:rsid w:val="004F4DA9"/>
    <w:rsid w:val="004F6784"/>
    <w:rsid w:val="00503799"/>
    <w:rsid w:val="00503910"/>
    <w:rsid w:val="00507785"/>
    <w:rsid w:val="00515767"/>
    <w:rsid w:val="00516BDD"/>
    <w:rsid w:val="005208B5"/>
    <w:rsid w:val="00530277"/>
    <w:rsid w:val="00532AC6"/>
    <w:rsid w:val="00534DF7"/>
    <w:rsid w:val="0053647F"/>
    <w:rsid w:val="00537036"/>
    <w:rsid w:val="00540E07"/>
    <w:rsid w:val="00541B0F"/>
    <w:rsid w:val="00543950"/>
    <w:rsid w:val="005458AA"/>
    <w:rsid w:val="005504A1"/>
    <w:rsid w:val="0055055B"/>
    <w:rsid w:val="00555D4D"/>
    <w:rsid w:val="00556944"/>
    <w:rsid w:val="00562586"/>
    <w:rsid w:val="005666A3"/>
    <w:rsid w:val="00566C18"/>
    <w:rsid w:val="0057344C"/>
    <w:rsid w:val="005807A3"/>
    <w:rsid w:val="00582D5D"/>
    <w:rsid w:val="00586910"/>
    <w:rsid w:val="00596126"/>
    <w:rsid w:val="005A10A7"/>
    <w:rsid w:val="005A1223"/>
    <w:rsid w:val="005B0EAC"/>
    <w:rsid w:val="005B39D0"/>
    <w:rsid w:val="005B3B21"/>
    <w:rsid w:val="005B5217"/>
    <w:rsid w:val="005B574D"/>
    <w:rsid w:val="005B60A4"/>
    <w:rsid w:val="005C211D"/>
    <w:rsid w:val="005C22B3"/>
    <w:rsid w:val="005C3623"/>
    <w:rsid w:val="005C5BB2"/>
    <w:rsid w:val="005D0401"/>
    <w:rsid w:val="005D310E"/>
    <w:rsid w:val="005D3F61"/>
    <w:rsid w:val="005D4A06"/>
    <w:rsid w:val="005D77CC"/>
    <w:rsid w:val="005E03EF"/>
    <w:rsid w:val="005E25CB"/>
    <w:rsid w:val="005E3F03"/>
    <w:rsid w:val="005E43C1"/>
    <w:rsid w:val="005F0E97"/>
    <w:rsid w:val="005F3621"/>
    <w:rsid w:val="005F38CD"/>
    <w:rsid w:val="005F3B9C"/>
    <w:rsid w:val="00610B58"/>
    <w:rsid w:val="00612426"/>
    <w:rsid w:val="00613EE7"/>
    <w:rsid w:val="00616908"/>
    <w:rsid w:val="0061692C"/>
    <w:rsid w:val="006256C3"/>
    <w:rsid w:val="006308FE"/>
    <w:rsid w:val="0063462F"/>
    <w:rsid w:val="00637AD9"/>
    <w:rsid w:val="00642DBA"/>
    <w:rsid w:val="00642E3B"/>
    <w:rsid w:val="00643878"/>
    <w:rsid w:val="00647DAF"/>
    <w:rsid w:val="00650902"/>
    <w:rsid w:val="00650BDC"/>
    <w:rsid w:val="00656E94"/>
    <w:rsid w:val="00663876"/>
    <w:rsid w:val="00670220"/>
    <w:rsid w:val="00675189"/>
    <w:rsid w:val="00675550"/>
    <w:rsid w:val="00677309"/>
    <w:rsid w:val="00677408"/>
    <w:rsid w:val="00680A70"/>
    <w:rsid w:val="00680FE7"/>
    <w:rsid w:val="00681C4D"/>
    <w:rsid w:val="0068429D"/>
    <w:rsid w:val="00684558"/>
    <w:rsid w:val="006909C4"/>
    <w:rsid w:val="00692ECD"/>
    <w:rsid w:val="006932D9"/>
    <w:rsid w:val="006937C6"/>
    <w:rsid w:val="00695474"/>
    <w:rsid w:val="00697264"/>
    <w:rsid w:val="00697E4B"/>
    <w:rsid w:val="006A31CF"/>
    <w:rsid w:val="006A7D86"/>
    <w:rsid w:val="006B4920"/>
    <w:rsid w:val="006B571C"/>
    <w:rsid w:val="006B6A2F"/>
    <w:rsid w:val="006C1EF6"/>
    <w:rsid w:val="006C2257"/>
    <w:rsid w:val="006C31E7"/>
    <w:rsid w:val="006C33AB"/>
    <w:rsid w:val="006C4672"/>
    <w:rsid w:val="006C4709"/>
    <w:rsid w:val="006C6E67"/>
    <w:rsid w:val="006C78C2"/>
    <w:rsid w:val="006C7CC9"/>
    <w:rsid w:val="006D2E1B"/>
    <w:rsid w:val="006D6C26"/>
    <w:rsid w:val="006E211A"/>
    <w:rsid w:val="006E5283"/>
    <w:rsid w:val="006E5975"/>
    <w:rsid w:val="006E61E1"/>
    <w:rsid w:val="006F1CD4"/>
    <w:rsid w:val="006F2AB8"/>
    <w:rsid w:val="0070562F"/>
    <w:rsid w:val="0070625C"/>
    <w:rsid w:val="007100A0"/>
    <w:rsid w:val="00710B22"/>
    <w:rsid w:val="00714279"/>
    <w:rsid w:val="0071517D"/>
    <w:rsid w:val="0071686E"/>
    <w:rsid w:val="0071737C"/>
    <w:rsid w:val="00720DA0"/>
    <w:rsid w:val="00727C13"/>
    <w:rsid w:val="00731108"/>
    <w:rsid w:val="00735AA8"/>
    <w:rsid w:val="007406EC"/>
    <w:rsid w:val="00740716"/>
    <w:rsid w:val="00742878"/>
    <w:rsid w:val="00744AF5"/>
    <w:rsid w:val="007479F1"/>
    <w:rsid w:val="00755449"/>
    <w:rsid w:val="00761378"/>
    <w:rsid w:val="007637D6"/>
    <w:rsid w:val="00767D2E"/>
    <w:rsid w:val="0077205D"/>
    <w:rsid w:val="00777E9F"/>
    <w:rsid w:val="00781E0C"/>
    <w:rsid w:val="00783033"/>
    <w:rsid w:val="007830B6"/>
    <w:rsid w:val="00783E5B"/>
    <w:rsid w:val="00785578"/>
    <w:rsid w:val="00785FD5"/>
    <w:rsid w:val="007865E4"/>
    <w:rsid w:val="00790DA6"/>
    <w:rsid w:val="00791B00"/>
    <w:rsid w:val="00797469"/>
    <w:rsid w:val="00797C61"/>
    <w:rsid w:val="007A0E98"/>
    <w:rsid w:val="007A16DE"/>
    <w:rsid w:val="007A372C"/>
    <w:rsid w:val="007A3A34"/>
    <w:rsid w:val="007B2D90"/>
    <w:rsid w:val="007B6ABF"/>
    <w:rsid w:val="007B6C7F"/>
    <w:rsid w:val="007C0C3C"/>
    <w:rsid w:val="007C0F29"/>
    <w:rsid w:val="007C46FB"/>
    <w:rsid w:val="007C4F20"/>
    <w:rsid w:val="007C538F"/>
    <w:rsid w:val="007D58F0"/>
    <w:rsid w:val="007D7115"/>
    <w:rsid w:val="007E08D6"/>
    <w:rsid w:val="007F6B28"/>
    <w:rsid w:val="007F7AD5"/>
    <w:rsid w:val="008003B1"/>
    <w:rsid w:val="00801D55"/>
    <w:rsid w:val="008046DC"/>
    <w:rsid w:val="00805082"/>
    <w:rsid w:val="008066A8"/>
    <w:rsid w:val="00812F11"/>
    <w:rsid w:val="0081349E"/>
    <w:rsid w:val="008142B5"/>
    <w:rsid w:val="00814355"/>
    <w:rsid w:val="00816F1C"/>
    <w:rsid w:val="00820EC0"/>
    <w:rsid w:val="00825B8C"/>
    <w:rsid w:val="00827D4E"/>
    <w:rsid w:val="0083192A"/>
    <w:rsid w:val="00837A84"/>
    <w:rsid w:val="00837C7B"/>
    <w:rsid w:val="00840831"/>
    <w:rsid w:val="008422ED"/>
    <w:rsid w:val="00844FF1"/>
    <w:rsid w:val="008455CB"/>
    <w:rsid w:val="00846D94"/>
    <w:rsid w:val="0085149A"/>
    <w:rsid w:val="00852603"/>
    <w:rsid w:val="00856BF7"/>
    <w:rsid w:val="0086064A"/>
    <w:rsid w:val="00860716"/>
    <w:rsid w:val="008613C0"/>
    <w:rsid w:val="00865072"/>
    <w:rsid w:val="00874217"/>
    <w:rsid w:val="0087514B"/>
    <w:rsid w:val="008817B3"/>
    <w:rsid w:val="00881EA7"/>
    <w:rsid w:val="00883F12"/>
    <w:rsid w:val="00887916"/>
    <w:rsid w:val="008921E8"/>
    <w:rsid w:val="008937B7"/>
    <w:rsid w:val="00895F95"/>
    <w:rsid w:val="008A2348"/>
    <w:rsid w:val="008A371A"/>
    <w:rsid w:val="008A6FEB"/>
    <w:rsid w:val="008C032F"/>
    <w:rsid w:val="008C0811"/>
    <w:rsid w:val="008C0CA3"/>
    <w:rsid w:val="008C4357"/>
    <w:rsid w:val="008D0496"/>
    <w:rsid w:val="008D0A74"/>
    <w:rsid w:val="008D0EC7"/>
    <w:rsid w:val="008D7E67"/>
    <w:rsid w:val="008E674A"/>
    <w:rsid w:val="008E71EE"/>
    <w:rsid w:val="008E7F37"/>
    <w:rsid w:val="008F2619"/>
    <w:rsid w:val="008F2FBA"/>
    <w:rsid w:val="008F3247"/>
    <w:rsid w:val="008F7108"/>
    <w:rsid w:val="0090416B"/>
    <w:rsid w:val="00904AE2"/>
    <w:rsid w:val="00905F87"/>
    <w:rsid w:val="00906D6C"/>
    <w:rsid w:val="00907771"/>
    <w:rsid w:val="00907EE4"/>
    <w:rsid w:val="0091309D"/>
    <w:rsid w:val="0091609E"/>
    <w:rsid w:val="00916455"/>
    <w:rsid w:val="00916F4D"/>
    <w:rsid w:val="00917A2F"/>
    <w:rsid w:val="00926E24"/>
    <w:rsid w:val="009409ED"/>
    <w:rsid w:val="00941BEE"/>
    <w:rsid w:val="009423B6"/>
    <w:rsid w:val="00943979"/>
    <w:rsid w:val="00947A7F"/>
    <w:rsid w:val="00951CC2"/>
    <w:rsid w:val="00953DE3"/>
    <w:rsid w:val="00953F02"/>
    <w:rsid w:val="009540C3"/>
    <w:rsid w:val="00956287"/>
    <w:rsid w:val="00961C4B"/>
    <w:rsid w:val="00962DCB"/>
    <w:rsid w:val="00971254"/>
    <w:rsid w:val="00973F9D"/>
    <w:rsid w:val="00976032"/>
    <w:rsid w:val="00985A14"/>
    <w:rsid w:val="009871F6"/>
    <w:rsid w:val="00987B1D"/>
    <w:rsid w:val="0099356B"/>
    <w:rsid w:val="00995500"/>
    <w:rsid w:val="009A4040"/>
    <w:rsid w:val="009A49B7"/>
    <w:rsid w:val="009A50DF"/>
    <w:rsid w:val="009B04A9"/>
    <w:rsid w:val="009B17C4"/>
    <w:rsid w:val="009B4C25"/>
    <w:rsid w:val="009B6567"/>
    <w:rsid w:val="009B7959"/>
    <w:rsid w:val="009C381D"/>
    <w:rsid w:val="009C3F54"/>
    <w:rsid w:val="009C796A"/>
    <w:rsid w:val="009D69FB"/>
    <w:rsid w:val="009D6B31"/>
    <w:rsid w:val="009D6C2F"/>
    <w:rsid w:val="009E0276"/>
    <w:rsid w:val="009E27C8"/>
    <w:rsid w:val="009E5CD4"/>
    <w:rsid w:val="009E7CFD"/>
    <w:rsid w:val="009F2022"/>
    <w:rsid w:val="009F4F51"/>
    <w:rsid w:val="00A03A14"/>
    <w:rsid w:val="00A0519B"/>
    <w:rsid w:val="00A15B7B"/>
    <w:rsid w:val="00A22AA7"/>
    <w:rsid w:val="00A24F85"/>
    <w:rsid w:val="00A25584"/>
    <w:rsid w:val="00A268B9"/>
    <w:rsid w:val="00A3177E"/>
    <w:rsid w:val="00A31905"/>
    <w:rsid w:val="00A32446"/>
    <w:rsid w:val="00A374A4"/>
    <w:rsid w:val="00A4095E"/>
    <w:rsid w:val="00A43E6E"/>
    <w:rsid w:val="00A46491"/>
    <w:rsid w:val="00A47760"/>
    <w:rsid w:val="00A527DA"/>
    <w:rsid w:val="00A5678B"/>
    <w:rsid w:val="00A56FE2"/>
    <w:rsid w:val="00A6077F"/>
    <w:rsid w:val="00A64E38"/>
    <w:rsid w:val="00A66D87"/>
    <w:rsid w:val="00A7135C"/>
    <w:rsid w:val="00A72DFB"/>
    <w:rsid w:val="00A80C7B"/>
    <w:rsid w:val="00A8295F"/>
    <w:rsid w:val="00A82BB6"/>
    <w:rsid w:val="00A85567"/>
    <w:rsid w:val="00A87A82"/>
    <w:rsid w:val="00AA33C9"/>
    <w:rsid w:val="00AA4F9B"/>
    <w:rsid w:val="00AA5D96"/>
    <w:rsid w:val="00AB6D49"/>
    <w:rsid w:val="00AC12AF"/>
    <w:rsid w:val="00AC1C58"/>
    <w:rsid w:val="00AC2F6B"/>
    <w:rsid w:val="00AC7395"/>
    <w:rsid w:val="00AD2347"/>
    <w:rsid w:val="00AD6376"/>
    <w:rsid w:val="00AD676E"/>
    <w:rsid w:val="00AD7248"/>
    <w:rsid w:val="00AD7E38"/>
    <w:rsid w:val="00AE11A2"/>
    <w:rsid w:val="00AE24BB"/>
    <w:rsid w:val="00AE40BC"/>
    <w:rsid w:val="00AE4DED"/>
    <w:rsid w:val="00AE5604"/>
    <w:rsid w:val="00AF136D"/>
    <w:rsid w:val="00AF2C7D"/>
    <w:rsid w:val="00AF7B85"/>
    <w:rsid w:val="00AF7BDB"/>
    <w:rsid w:val="00B00D77"/>
    <w:rsid w:val="00B00DF0"/>
    <w:rsid w:val="00B01D27"/>
    <w:rsid w:val="00B028DD"/>
    <w:rsid w:val="00B0294C"/>
    <w:rsid w:val="00B04F94"/>
    <w:rsid w:val="00B05E59"/>
    <w:rsid w:val="00B07056"/>
    <w:rsid w:val="00B105AA"/>
    <w:rsid w:val="00B109C7"/>
    <w:rsid w:val="00B110A4"/>
    <w:rsid w:val="00B111AA"/>
    <w:rsid w:val="00B12B95"/>
    <w:rsid w:val="00B14B99"/>
    <w:rsid w:val="00B164FB"/>
    <w:rsid w:val="00B231F9"/>
    <w:rsid w:val="00B247E4"/>
    <w:rsid w:val="00B311F1"/>
    <w:rsid w:val="00B35A83"/>
    <w:rsid w:val="00B35D17"/>
    <w:rsid w:val="00B37038"/>
    <w:rsid w:val="00B457BB"/>
    <w:rsid w:val="00B4594A"/>
    <w:rsid w:val="00B5331F"/>
    <w:rsid w:val="00B548A0"/>
    <w:rsid w:val="00B55356"/>
    <w:rsid w:val="00B62FC1"/>
    <w:rsid w:val="00B64700"/>
    <w:rsid w:val="00B65817"/>
    <w:rsid w:val="00B74BE9"/>
    <w:rsid w:val="00B75F08"/>
    <w:rsid w:val="00B778B2"/>
    <w:rsid w:val="00B82ECA"/>
    <w:rsid w:val="00B83400"/>
    <w:rsid w:val="00B84955"/>
    <w:rsid w:val="00B84A20"/>
    <w:rsid w:val="00B84E8E"/>
    <w:rsid w:val="00B85C44"/>
    <w:rsid w:val="00B9489B"/>
    <w:rsid w:val="00B95960"/>
    <w:rsid w:val="00B9612C"/>
    <w:rsid w:val="00B97BBE"/>
    <w:rsid w:val="00BA35FA"/>
    <w:rsid w:val="00BA375B"/>
    <w:rsid w:val="00BA4A79"/>
    <w:rsid w:val="00BA6108"/>
    <w:rsid w:val="00BA7C02"/>
    <w:rsid w:val="00BA7FC3"/>
    <w:rsid w:val="00BB0C5C"/>
    <w:rsid w:val="00BB1CE4"/>
    <w:rsid w:val="00BB296A"/>
    <w:rsid w:val="00BB371F"/>
    <w:rsid w:val="00BB5934"/>
    <w:rsid w:val="00BB703D"/>
    <w:rsid w:val="00BB7615"/>
    <w:rsid w:val="00BC193F"/>
    <w:rsid w:val="00BC1CE3"/>
    <w:rsid w:val="00BC1EB4"/>
    <w:rsid w:val="00BC26D9"/>
    <w:rsid w:val="00BD54D4"/>
    <w:rsid w:val="00BD6248"/>
    <w:rsid w:val="00BD65D0"/>
    <w:rsid w:val="00BD7EF4"/>
    <w:rsid w:val="00BE1074"/>
    <w:rsid w:val="00BE56AA"/>
    <w:rsid w:val="00BE5D5E"/>
    <w:rsid w:val="00BE6BF8"/>
    <w:rsid w:val="00BE754E"/>
    <w:rsid w:val="00BF005C"/>
    <w:rsid w:val="00BF13B4"/>
    <w:rsid w:val="00BF514E"/>
    <w:rsid w:val="00BF6B8C"/>
    <w:rsid w:val="00C02480"/>
    <w:rsid w:val="00C02E09"/>
    <w:rsid w:val="00C04A37"/>
    <w:rsid w:val="00C0719F"/>
    <w:rsid w:val="00C1235B"/>
    <w:rsid w:val="00C1572D"/>
    <w:rsid w:val="00C164BC"/>
    <w:rsid w:val="00C227C1"/>
    <w:rsid w:val="00C2663C"/>
    <w:rsid w:val="00C27E6A"/>
    <w:rsid w:val="00C31199"/>
    <w:rsid w:val="00C31939"/>
    <w:rsid w:val="00C33612"/>
    <w:rsid w:val="00C33B9C"/>
    <w:rsid w:val="00C37C2E"/>
    <w:rsid w:val="00C37DB1"/>
    <w:rsid w:val="00C41E09"/>
    <w:rsid w:val="00C4619E"/>
    <w:rsid w:val="00C4733A"/>
    <w:rsid w:val="00C52EAB"/>
    <w:rsid w:val="00C532E7"/>
    <w:rsid w:val="00C5431D"/>
    <w:rsid w:val="00C5544A"/>
    <w:rsid w:val="00C55A5B"/>
    <w:rsid w:val="00C55E1F"/>
    <w:rsid w:val="00C57C22"/>
    <w:rsid w:val="00C625FC"/>
    <w:rsid w:val="00C70F97"/>
    <w:rsid w:val="00C7264C"/>
    <w:rsid w:val="00C73807"/>
    <w:rsid w:val="00C779F4"/>
    <w:rsid w:val="00C81600"/>
    <w:rsid w:val="00C842AE"/>
    <w:rsid w:val="00C86905"/>
    <w:rsid w:val="00C90D55"/>
    <w:rsid w:val="00C91512"/>
    <w:rsid w:val="00C92794"/>
    <w:rsid w:val="00C94874"/>
    <w:rsid w:val="00C94E92"/>
    <w:rsid w:val="00C96B36"/>
    <w:rsid w:val="00C96C58"/>
    <w:rsid w:val="00CA66A4"/>
    <w:rsid w:val="00CA671D"/>
    <w:rsid w:val="00CB51B0"/>
    <w:rsid w:val="00CC03AA"/>
    <w:rsid w:val="00CC13D5"/>
    <w:rsid w:val="00CC13FD"/>
    <w:rsid w:val="00CC6BCA"/>
    <w:rsid w:val="00CC7CE9"/>
    <w:rsid w:val="00CD394D"/>
    <w:rsid w:val="00CD5827"/>
    <w:rsid w:val="00CD7885"/>
    <w:rsid w:val="00CE0A74"/>
    <w:rsid w:val="00CE1E8B"/>
    <w:rsid w:val="00CE4697"/>
    <w:rsid w:val="00CE78B2"/>
    <w:rsid w:val="00CE7D6D"/>
    <w:rsid w:val="00CF2474"/>
    <w:rsid w:val="00CF46B2"/>
    <w:rsid w:val="00D0009F"/>
    <w:rsid w:val="00D0210F"/>
    <w:rsid w:val="00D067B3"/>
    <w:rsid w:val="00D10BC5"/>
    <w:rsid w:val="00D204EE"/>
    <w:rsid w:val="00D2091B"/>
    <w:rsid w:val="00D20A69"/>
    <w:rsid w:val="00D23579"/>
    <w:rsid w:val="00D273B9"/>
    <w:rsid w:val="00D309B7"/>
    <w:rsid w:val="00D31FE9"/>
    <w:rsid w:val="00D40E31"/>
    <w:rsid w:val="00D4289F"/>
    <w:rsid w:val="00D428F5"/>
    <w:rsid w:val="00D42B91"/>
    <w:rsid w:val="00D44CD4"/>
    <w:rsid w:val="00D45FF5"/>
    <w:rsid w:val="00D464F0"/>
    <w:rsid w:val="00D47B33"/>
    <w:rsid w:val="00D47D17"/>
    <w:rsid w:val="00D50D45"/>
    <w:rsid w:val="00D5216E"/>
    <w:rsid w:val="00D54704"/>
    <w:rsid w:val="00D55E8A"/>
    <w:rsid w:val="00D56BAB"/>
    <w:rsid w:val="00D6018F"/>
    <w:rsid w:val="00D67004"/>
    <w:rsid w:val="00D81F71"/>
    <w:rsid w:val="00D86B6D"/>
    <w:rsid w:val="00D86FB1"/>
    <w:rsid w:val="00D876BC"/>
    <w:rsid w:val="00D87F5A"/>
    <w:rsid w:val="00D93E11"/>
    <w:rsid w:val="00D95971"/>
    <w:rsid w:val="00DA0597"/>
    <w:rsid w:val="00DA1BFB"/>
    <w:rsid w:val="00DA4979"/>
    <w:rsid w:val="00DA67A3"/>
    <w:rsid w:val="00DB0865"/>
    <w:rsid w:val="00DB0C2A"/>
    <w:rsid w:val="00DB1D31"/>
    <w:rsid w:val="00DC01C5"/>
    <w:rsid w:val="00DC2CBD"/>
    <w:rsid w:val="00DC3125"/>
    <w:rsid w:val="00DC6FC1"/>
    <w:rsid w:val="00DD7A37"/>
    <w:rsid w:val="00DE03D3"/>
    <w:rsid w:val="00DE18B5"/>
    <w:rsid w:val="00DE4F54"/>
    <w:rsid w:val="00DE5CDE"/>
    <w:rsid w:val="00DE6A8E"/>
    <w:rsid w:val="00DE6BC0"/>
    <w:rsid w:val="00DF04B0"/>
    <w:rsid w:val="00DF0766"/>
    <w:rsid w:val="00DF40E0"/>
    <w:rsid w:val="00DF4827"/>
    <w:rsid w:val="00DF4C39"/>
    <w:rsid w:val="00DF5459"/>
    <w:rsid w:val="00DF6D5B"/>
    <w:rsid w:val="00DF78D6"/>
    <w:rsid w:val="00E006CF"/>
    <w:rsid w:val="00E00BA0"/>
    <w:rsid w:val="00E02A97"/>
    <w:rsid w:val="00E043C0"/>
    <w:rsid w:val="00E07C7B"/>
    <w:rsid w:val="00E11D79"/>
    <w:rsid w:val="00E1594D"/>
    <w:rsid w:val="00E206CB"/>
    <w:rsid w:val="00E20704"/>
    <w:rsid w:val="00E24378"/>
    <w:rsid w:val="00E30146"/>
    <w:rsid w:val="00E342F1"/>
    <w:rsid w:val="00E34321"/>
    <w:rsid w:val="00E3484B"/>
    <w:rsid w:val="00E35A16"/>
    <w:rsid w:val="00E36D5F"/>
    <w:rsid w:val="00E37726"/>
    <w:rsid w:val="00E43790"/>
    <w:rsid w:val="00E54945"/>
    <w:rsid w:val="00E55D9A"/>
    <w:rsid w:val="00E560E5"/>
    <w:rsid w:val="00E61B4B"/>
    <w:rsid w:val="00E67D31"/>
    <w:rsid w:val="00E7758F"/>
    <w:rsid w:val="00E83D65"/>
    <w:rsid w:val="00E87E19"/>
    <w:rsid w:val="00E87F80"/>
    <w:rsid w:val="00E90619"/>
    <w:rsid w:val="00E91B2A"/>
    <w:rsid w:val="00E91EE4"/>
    <w:rsid w:val="00E927E4"/>
    <w:rsid w:val="00E943C5"/>
    <w:rsid w:val="00E97D75"/>
    <w:rsid w:val="00EA0E99"/>
    <w:rsid w:val="00EA4CE5"/>
    <w:rsid w:val="00EA6324"/>
    <w:rsid w:val="00EB0A45"/>
    <w:rsid w:val="00EB5DCE"/>
    <w:rsid w:val="00EC0BE3"/>
    <w:rsid w:val="00EC2530"/>
    <w:rsid w:val="00EC421F"/>
    <w:rsid w:val="00EC4DC8"/>
    <w:rsid w:val="00ED1765"/>
    <w:rsid w:val="00ED2494"/>
    <w:rsid w:val="00ED7242"/>
    <w:rsid w:val="00ED75F5"/>
    <w:rsid w:val="00EF2074"/>
    <w:rsid w:val="00EF304A"/>
    <w:rsid w:val="00F00F89"/>
    <w:rsid w:val="00F041EB"/>
    <w:rsid w:val="00F0616D"/>
    <w:rsid w:val="00F0703A"/>
    <w:rsid w:val="00F20187"/>
    <w:rsid w:val="00F202D7"/>
    <w:rsid w:val="00F259D9"/>
    <w:rsid w:val="00F32505"/>
    <w:rsid w:val="00F327ED"/>
    <w:rsid w:val="00F341B6"/>
    <w:rsid w:val="00F35B58"/>
    <w:rsid w:val="00F3633D"/>
    <w:rsid w:val="00F374C2"/>
    <w:rsid w:val="00F4354F"/>
    <w:rsid w:val="00F437CA"/>
    <w:rsid w:val="00F442C6"/>
    <w:rsid w:val="00F52FAC"/>
    <w:rsid w:val="00F5334C"/>
    <w:rsid w:val="00F53444"/>
    <w:rsid w:val="00F60D01"/>
    <w:rsid w:val="00F73FE3"/>
    <w:rsid w:val="00F7627B"/>
    <w:rsid w:val="00F77FF5"/>
    <w:rsid w:val="00F83282"/>
    <w:rsid w:val="00F928D5"/>
    <w:rsid w:val="00F94FCD"/>
    <w:rsid w:val="00FA30BD"/>
    <w:rsid w:val="00FA3ED7"/>
    <w:rsid w:val="00FA409F"/>
    <w:rsid w:val="00FA54B4"/>
    <w:rsid w:val="00FA70EF"/>
    <w:rsid w:val="00FB479C"/>
    <w:rsid w:val="00FC1271"/>
    <w:rsid w:val="00FC4DC8"/>
    <w:rsid w:val="00FC4FC3"/>
    <w:rsid w:val="00FC6CCC"/>
    <w:rsid w:val="00FC78A1"/>
    <w:rsid w:val="00FD0A48"/>
    <w:rsid w:val="00FD151E"/>
    <w:rsid w:val="00FD1929"/>
    <w:rsid w:val="00FD5BDE"/>
    <w:rsid w:val="00FE0FA7"/>
    <w:rsid w:val="00FE1A33"/>
    <w:rsid w:val="00FE48B6"/>
    <w:rsid w:val="00FE6C42"/>
    <w:rsid w:val="00FF6A11"/>
    <w:rsid w:val="0C41019D"/>
    <w:rsid w:val="21E63598"/>
    <w:rsid w:val="2FFF2C69"/>
    <w:rsid w:val="4952288A"/>
    <w:rsid w:val="4D4351B7"/>
    <w:rsid w:val="4FC17A4D"/>
    <w:rsid w:val="7BE72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200" w:firstLineChars="200"/>
      <w:jc w:val="both"/>
    </w:pPr>
    <w:rPr>
      <w:rFonts w:ascii="Times New Roman" w:hAnsi="Times New Roman" w:eastAsia="仿宋_GB2312" w:cs="Times New Roman"/>
      <w:kern w:val="2"/>
      <w:sz w:val="32"/>
      <w:lang w:val="en-US" w:eastAsia="zh-CN" w:bidi="ar-SA"/>
    </w:rPr>
  </w:style>
  <w:style w:type="paragraph" w:styleId="2">
    <w:name w:val="heading 1"/>
    <w:basedOn w:val="1"/>
    <w:next w:val="1"/>
    <w:link w:val="30"/>
    <w:autoRedefine/>
    <w:qFormat/>
    <w:uiPriority w:val="9"/>
    <w:pPr>
      <w:keepNext/>
      <w:keepLines/>
      <w:spacing w:before="340" w:after="330" w:line="578" w:lineRule="auto"/>
      <w:outlineLvl w:val="0"/>
    </w:pPr>
    <w:rPr>
      <w:rFonts w:ascii="Calibri" w:hAnsi="Calibri"/>
      <w:b/>
      <w:bCs/>
      <w:kern w:val="44"/>
      <w:sz w:val="44"/>
      <w:szCs w:val="44"/>
      <w:lang w:val="zh-CN" w:eastAsia="zh-CN"/>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pPr>
  </w:style>
  <w:style w:type="paragraph" w:styleId="4">
    <w:name w:val="Document Map"/>
    <w:basedOn w:val="1"/>
    <w:link w:val="20"/>
    <w:autoRedefine/>
    <w:qFormat/>
    <w:uiPriority w:val="0"/>
    <w:rPr>
      <w:rFonts w:ascii="宋体"/>
      <w:sz w:val="18"/>
    </w:rPr>
  </w:style>
  <w:style w:type="paragraph" w:styleId="5">
    <w:name w:val="annotation text"/>
    <w:basedOn w:val="1"/>
    <w:link w:val="22"/>
    <w:autoRedefine/>
    <w:unhideWhenUsed/>
    <w:qFormat/>
    <w:uiPriority w:val="0"/>
    <w:pPr>
      <w:jc w:val="left"/>
    </w:pPr>
  </w:style>
  <w:style w:type="paragraph" w:styleId="6">
    <w:name w:val="Body Text Indent"/>
    <w:basedOn w:val="1"/>
    <w:link w:val="34"/>
    <w:autoRedefine/>
    <w:semiHidden/>
    <w:unhideWhenUsed/>
    <w:qFormat/>
    <w:uiPriority w:val="99"/>
    <w:pPr>
      <w:spacing w:after="120"/>
      <w:ind w:left="420" w:leftChars="200"/>
    </w:pPr>
  </w:style>
  <w:style w:type="paragraph" w:styleId="7">
    <w:name w:val="Balloon Text"/>
    <w:basedOn w:val="1"/>
    <w:link w:val="21"/>
    <w:autoRedefine/>
    <w:unhideWhenUsed/>
    <w:qFormat/>
    <w:uiPriority w:val="99"/>
    <w:rPr>
      <w:sz w:val="18"/>
      <w:szCs w:val="18"/>
    </w:rPr>
  </w:style>
  <w:style w:type="paragraph" w:styleId="8">
    <w:name w:val="footer"/>
    <w:basedOn w:val="1"/>
    <w:link w:val="32"/>
    <w:autoRedefine/>
    <w:qFormat/>
    <w:uiPriority w:val="99"/>
    <w:pPr>
      <w:tabs>
        <w:tab w:val="center" w:pos="4153"/>
        <w:tab w:val="right" w:pos="8306"/>
      </w:tabs>
      <w:snapToGrid w:val="0"/>
      <w:jc w:val="left"/>
    </w:pPr>
    <w:rPr>
      <w:sz w:val="18"/>
    </w:rPr>
  </w:style>
  <w:style w:type="paragraph" w:styleId="9">
    <w:name w:val="header"/>
    <w:basedOn w:val="1"/>
    <w:link w:val="3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autoRedefine/>
    <w:unhideWhenUsed/>
    <w:qFormat/>
    <w:uiPriority w:val="39"/>
    <w:pPr>
      <w:tabs>
        <w:tab w:val="right" w:leader="dot" w:pos="8834"/>
      </w:tabs>
      <w:ind w:firstLine="560"/>
    </w:pPr>
  </w:style>
  <w:style w:type="paragraph" w:styleId="11">
    <w:name w:val="Title"/>
    <w:basedOn w:val="1"/>
    <w:next w:val="1"/>
    <w:link w:val="26"/>
    <w:autoRedefine/>
    <w:qFormat/>
    <w:uiPriority w:val="10"/>
    <w:pPr>
      <w:spacing w:before="240" w:after="60"/>
      <w:jc w:val="left"/>
      <w:outlineLvl w:val="0"/>
    </w:pPr>
    <w:rPr>
      <w:rFonts w:ascii="等线 Light" w:hAnsi="等线 Light"/>
      <w:b/>
      <w:bCs/>
      <w:szCs w:val="32"/>
    </w:rPr>
  </w:style>
  <w:style w:type="paragraph" w:styleId="12">
    <w:name w:val="annotation subject"/>
    <w:basedOn w:val="5"/>
    <w:next w:val="5"/>
    <w:link w:val="23"/>
    <w:autoRedefine/>
    <w:unhideWhenUsed/>
    <w:qFormat/>
    <w:uiPriority w:val="99"/>
    <w:rPr>
      <w:b/>
      <w:bCs/>
    </w:rPr>
  </w:style>
  <w:style w:type="paragraph" w:styleId="13">
    <w:name w:val="Body Text First Indent 2"/>
    <w:basedOn w:val="6"/>
    <w:link w:val="35"/>
    <w:autoRedefine/>
    <w:unhideWhenUsed/>
    <w:qFormat/>
    <w:uiPriority w:val="99"/>
    <w:pPr>
      <w:ind w:firstLine="420"/>
    </w:pPr>
    <w:rPr>
      <w:rFonts w:ascii="Calibri" w:hAnsi="Calibri"/>
      <w:szCs w:val="22"/>
    </w:rPr>
  </w:style>
  <w:style w:type="character" w:styleId="16">
    <w:name w:val="Strong"/>
    <w:autoRedefine/>
    <w:qFormat/>
    <w:uiPriority w:val="22"/>
    <w:rPr>
      <w:b/>
      <w:bCs/>
    </w:rPr>
  </w:style>
  <w:style w:type="character" w:styleId="17">
    <w:name w:val="page number"/>
    <w:basedOn w:val="15"/>
    <w:autoRedefine/>
    <w:qFormat/>
    <w:uiPriority w:val="0"/>
  </w:style>
  <w:style w:type="character" w:styleId="18">
    <w:name w:val="Hyperlink"/>
    <w:autoRedefine/>
    <w:unhideWhenUsed/>
    <w:qFormat/>
    <w:uiPriority w:val="99"/>
    <w:rPr>
      <w:color w:val="0563C1"/>
      <w:u w:val="single"/>
    </w:rPr>
  </w:style>
  <w:style w:type="character" w:styleId="19">
    <w:name w:val="annotation reference"/>
    <w:autoRedefine/>
    <w:unhideWhenUsed/>
    <w:qFormat/>
    <w:uiPriority w:val="0"/>
    <w:rPr>
      <w:sz w:val="21"/>
      <w:szCs w:val="21"/>
    </w:rPr>
  </w:style>
  <w:style w:type="character" w:customStyle="1" w:styleId="20">
    <w:name w:val="文档结构图 字符"/>
    <w:link w:val="4"/>
    <w:autoRedefine/>
    <w:qFormat/>
    <w:uiPriority w:val="0"/>
    <w:rPr>
      <w:rFonts w:ascii="宋体"/>
      <w:kern w:val="2"/>
      <w:sz w:val="18"/>
    </w:rPr>
  </w:style>
  <w:style w:type="character" w:customStyle="1" w:styleId="21">
    <w:name w:val="批注框文本 字符"/>
    <w:link w:val="7"/>
    <w:autoRedefine/>
    <w:semiHidden/>
    <w:qFormat/>
    <w:uiPriority w:val="99"/>
    <w:rPr>
      <w:kern w:val="2"/>
      <w:sz w:val="18"/>
      <w:szCs w:val="18"/>
    </w:rPr>
  </w:style>
  <w:style w:type="character" w:customStyle="1" w:styleId="22">
    <w:name w:val="批注文字 字符"/>
    <w:link w:val="5"/>
    <w:autoRedefine/>
    <w:qFormat/>
    <w:uiPriority w:val="0"/>
    <w:rPr>
      <w:kern w:val="2"/>
      <w:sz w:val="21"/>
    </w:rPr>
  </w:style>
  <w:style w:type="character" w:customStyle="1" w:styleId="23">
    <w:name w:val="批注主题 字符"/>
    <w:link w:val="12"/>
    <w:autoRedefine/>
    <w:semiHidden/>
    <w:qFormat/>
    <w:uiPriority w:val="99"/>
    <w:rPr>
      <w:b/>
      <w:bCs/>
      <w:kern w:val="2"/>
      <w:sz w:val="21"/>
    </w:rPr>
  </w:style>
  <w:style w:type="paragraph" w:customStyle="1" w:styleId="24">
    <w:name w:val="列表段落1"/>
    <w:basedOn w:val="1"/>
    <w:autoRedefine/>
    <w:qFormat/>
    <w:uiPriority w:val="0"/>
    <w:pPr>
      <w:ind w:firstLine="420"/>
    </w:pPr>
    <w:rPr>
      <w:rFonts w:ascii="Calibri" w:hAnsi="Calibri" w:eastAsia="宋体"/>
      <w:sz w:val="21"/>
    </w:rPr>
  </w:style>
  <w:style w:type="paragraph" w:customStyle="1" w:styleId="25">
    <w:name w:val="p0"/>
    <w:basedOn w:val="1"/>
    <w:autoRedefine/>
    <w:qFormat/>
    <w:uiPriority w:val="0"/>
    <w:pPr>
      <w:widowControl/>
    </w:pPr>
    <w:rPr>
      <w:kern w:val="0"/>
    </w:rPr>
  </w:style>
  <w:style w:type="character" w:customStyle="1" w:styleId="26">
    <w:name w:val="标题 字符"/>
    <w:link w:val="11"/>
    <w:autoRedefine/>
    <w:qFormat/>
    <w:uiPriority w:val="10"/>
    <w:rPr>
      <w:rFonts w:ascii="等线 Light" w:hAnsi="等线 Light" w:eastAsia="仿宋_GB2312" w:cs="Times New Roman"/>
      <w:b/>
      <w:bCs/>
      <w:kern w:val="2"/>
      <w:sz w:val="32"/>
      <w:szCs w:val="32"/>
    </w:rPr>
  </w:style>
  <w:style w:type="character" w:customStyle="1" w:styleId="27">
    <w:name w:val="bjh-p"/>
    <w:autoRedefine/>
    <w:qFormat/>
    <w:uiPriority w:val="0"/>
  </w:style>
  <w:style w:type="character" w:customStyle="1" w:styleId="28">
    <w:name w:val="fontstyle01"/>
    <w:autoRedefine/>
    <w:qFormat/>
    <w:uiPriority w:val="0"/>
    <w:rPr>
      <w:rFonts w:hint="eastAsia" w:ascii="仿宋_GB2312" w:eastAsia="仿宋_GB2312"/>
      <w:color w:val="000000"/>
      <w:sz w:val="32"/>
      <w:szCs w:val="32"/>
    </w:rPr>
  </w:style>
  <w:style w:type="character" w:customStyle="1" w:styleId="29">
    <w:name w:val="标题 1 字符"/>
    <w:autoRedefine/>
    <w:qFormat/>
    <w:uiPriority w:val="9"/>
    <w:rPr>
      <w:b/>
      <w:bCs/>
      <w:kern w:val="44"/>
      <w:sz w:val="44"/>
      <w:szCs w:val="44"/>
    </w:rPr>
  </w:style>
  <w:style w:type="character" w:customStyle="1" w:styleId="30">
    <w:name w:val="标题 1 字符1"/>
    <w:link w:val="2"/>
    <w:autoRedefine/>
    <w:qFormat/>
    <w:uiPriority w:val="9"/>
    <w:rPr>
      <w:rFonts w:ascii="Calibri" w:hAnsi="Calibri"/>
      <w:b/>
      <w:bCs/>
      <w:kern w:val="44"/>
      <w:sz w:val="44"/>
      <w:szCs w:val="44"/>
      <w:lang w:val="zh-CN" w:eastAsia="zh-CN"/>
    </w:rPr>
  </w:style>
  <w:style w:type="character" w:customStyle="1" w:styleId="31">
    <w:name w:val="页眉 字符"/>
    <w:link w:val="9"/>
    <w:autoRedefine/>
    <w:qFormat/>
    <w:uiPriority w:val="99"/>
    <w:rPr>
      <w:kern w:val="2"/>
      <w:sz w:val="18"/>
    </w:rPr>
  </w:style>
  <w:style w:type="character" w:customStyle="1" w:styleId="32">
    <w:name w:val="页脚 字符"/>
    <w:link w:val="8"/>
    <w:autoRedefine/>
    <w:qFormat/>
    <w:uiPriority w:val="99"/>
    <w:rPr>
      <w:kern w:val="2"/>
      <w:sz w:val="18"/>
    </w:rPr>
  </w:style>
  <w:style w:type="paragraph" w:customStyle="1" w:styleId="33">
    <w:name w:val="TOC Heading"/>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lang w:val="en-US" w:eastAsia="zh-CN"/>
    </w:rPr>
  </w:style>
  <w:style w:type="character" w:customStyle="1" w:styleId="34">
    <w:name w:val="正文文本缩进 字符"/>
    <w:link w:val="6"/>
    <w:autoRedefine/>
    <w:semiHidden/>
    <w:qFormat/>
    <w:uiPriority w:val="99"/>
    <w:rPr>
      <w:kern w:val="2"/>
      <w:sz w:val="21"/>
    </w:rPr>
  </w:style>
  <w:style w:type="character" w:customStyle="1" w:styleId="35">
    <w:name w:val="正文文本首行缩进 2 字符"/>
    <w:link w:val="13"/>
    <w:autoRedefine/>
    <w:qFormat/>
    <w:uiPriority w:val="99"/>
    <w:rPr>
      <w:rFonts w:ascii="Calibri" w:hAnsi="Calibri"/>
      <w:kern w:val="2"/>
      <w:sz w:val="21"/>
      <w:szCs w:val="22"/>
    </w:rPr>
  </w:style>
  <w:style w:type="paragraph" w:customStyle="1" w:styleId="36">
    <w:name w:val="表格，长春经开区年度报告"/>
    <w:basedOn w:val="1"/>
    <w:link w:val="38"/>
    <w:autoRedefine/>
    <w:qFormat/>
    <w:uiPriority w:val="0"/>
    <w:pPr>
      <w:ind w:firstLine="0" w:firstLineChars="0"/>
      <w:jc w:val="center"/>
    </w:pPr>
    <w:rPr>
      <w:sz w:val="21"/>
    </w:rPr>
  </w:style>
  <w:style w:type="paragraph" w:customStyle="1" w:styleId="37">
    <w:name w:val="Revision"/>
    <w:autoRedefine/>
    <w:hidden/>
    <w:unhideWhenUsed/>
    <w:qFormat/>
    <w:uiPriority w:val="99"/>
    <w:rPr>
      <w:rFonts w:ascii="Times New Roman" w:hAnsi="Times New Roman" w:eastAsia="仿宋_GB2312" w:cs="Times New Roman"/>
      <w:kern w:val="2"/>
      <w:sz w:val="32"/>
      <w:lang w:val="en-US" w:eastAsia="zh-CN" w:bidi="ar-SA"/>
    </w:rPr>
  </w:style>
  <w:style w:type="character" w:customStyle="1" w:styleId="38">
    <w:name w:val="表格，长春经开区年度报告 字符"/>
    <w:link w:val="36"/>
    <w:autoRedefine/>
    <w:qFormat/>
    <w:uiPriority w:val="0"/>
    <w:rPr>
      <w:rFonts w:eastAsia="仿宋_GB2312"/>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57D9A-47D0-4A2B-BBC7-2CE515D1F385}">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26</Pages>
  <Words>2133</Words>
  <Characters>12164</Characters>
  <Lines>101</Lines>
  <Paragraphs>28</Paragraphs>
  <TotalTime>27</TotalTime>
  <ScaleCrop>false</ScaleCrop>
  <LinksUpToDate>false</LinksUpToDate>
  <CharactersWithSpaces>14269</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2023-06-25T05:34:00Z</dcterms:created>
  <dc:creator>zhyue</dc:creator>
  <cp:lastModifiedBy>淡定</cp:lastModifiedBy>
  <cp:lastPrinted>2022-05-25T01:30:00Z</cp:lastPrinted>
  <dcterms:modified xsi:type="dcterms:W3CDTF">2024-03-27T05:34:26Z</dcterms:modified>
  <dc:title>附件1</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25F36E0F5D0A45B6AD7873578752982A_12</vt:lpwstr>
  </property>
</Properties>
</file>