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32FE5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 xml:space="preserve">附件 </w:t>
      </w:r>
      <w:r>
        <w:rPr>
          <w:rFonts w:hint="default" w:ascii="Times New Roman" w:hAnsi="Times New Roman" w:eastAsia="仿宋" w:cs="Times New Roman"/>
          <w:snapToGrid/>
          <w:kern w:val="2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eastAsia="zh-CN"/>
        </w:rPr>
        <w:t>：</w:t>
      </w:r>
    </w:p>
    <w:p w14:paraId="75C05BE9">
      <w:pPr>
        <w:pStyle w:val="2"/>
        <w:spacing w:line="251" w:lineRule="auto"/>
      </w:pPr>
    </w:p>
    <w:p w14:paraId="7E686CE5">
      <w:pPr>
        <w:pStyle w:val="2"/>
        <w:spacing w:line="251" w:lineRule="auto"/>
      </w:pPr>
    </w:p>
    <w:p w14:paraId="6AB3952E">
      <w:pPr>
        <w:pStyle w:val="2"/>
        <w:spacing w:line="252" w:lineRule="auto"/>
      </w:pPr>
    </w:p>
    <w:p w14:paraId="7196D992">
      <w:pPr>
        <w:pStyle w:val="2"/>
        <w:spacing w:line="252" w:lineRule="auto"/>
      </w:pPr>
    </w:p>
    <w:p w14:paraId="6F572779">
      <w:pPr>
        <w:pStyle w:val="2"/>
        <w:spacing w:line="252" w:lineRule="auto"/>
      </w:pPr>
    </w:p>
    <w:p w14:paraId="676A03B3">
      <w:pPr>
        <w:pStyle w:val="2"/>
        <w:spacing w:line="252" w:lineRule="auto"/>
      </w:pPr>
    </w:p>
    <w:p w14:paraId="0E1FAC4E">
      <w:pPr>
        <w:pStyle w:val="2"/>
        <w:spacing w:line="252" w:lineRule="auto"/>
      </w:pPr>
    </w:p>
    <w:p w14:paraId="11991895">
      <w:pPr>
        <w:pStyle w:val="2"/>
        <w:spacing w:line="252" w:lineRule="auto"/>
      </w:pPr>
    </w:p>
    <w:p w14:paraId="4A5C3F12">
      <w:pPr>
        <w:pStyle w:val="2"/>
        <w:spacing w:line="252" w:lineRule="auto"/>
      </w:pPr>
    </w:p>
    <w:p w14:paraId="791211BC">
      <w:pPr>
        <w:pStyle w:val="2"/>
        <w:spacing w:line="252" w:lineRule="auto"/>
      </w:pPr>
    </w:p>
    <w:p w14:paraId="239AB859">
      <w:pPr>
        <w:pStyle w:val="2"/>
        <w:spacing w:line="252" w:lineRule="auto"/>
      </w:pPr>
    </w:p>
    <w:p w14:paraId="345168FB">
      <w:pPr>
        <w:pStyle w:val="2"/>
        <w:spacing w:line="252" w:lineRule="auto"/>
      </w:pPr>
    </w:p>
    <w:p w14:paraId="17EA2D50">
      <w:pPr>
        <w:pStyle w:val="2"/>
        <w:spacing w:line="252" w:lineRule="auto"/>
      </w:pPr>
    </w:p>
    <w:p w14:paraId="722784E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黑体" w:cs="Times New Roman"/>
          <w:snapToGrid/>
          <w:kern w:val="2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年度</w:t>
      </w:r>
    </w:p>
    <w:p w14:paraId="07754A3D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</w:pPr>
    </w:p>
    <w:p w14:paraId="57509B33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44"/>
          <w:szCs w:val="44"/>
          <w:lang w:val="en-US" w:eastAsia="zh-CN"/>
        </w:rPr>
        <w:t>长春市第二十一中学</w:t>
      </w:r>
    </w:p>
    <w:p w14:paraId="22BCBBF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44"/>
          <w:szCs w:val="44"/>
          <w:lang w:eastAsia="zh-CN"/>
        </w:rPr>
        <w:t>部门决算</w:t>
      </w:r>
    </w:p>
    <w:p w14:paraId="4CBF1D97">
      <w:pPr>
        <w:pStyle w:val="2"/>
        <w:spacing w:line="242" w:lineRule="auto"/>
      </w:pPr>
    </w:p>
    <w:p w14:paraId="1A741C4C">
      <w:pPr>
        <w:pStyle w:val="2"/>
        <w:spacing w:line="242" w:lineRule="auto"/>
      </w:pPr>
    </w:p>
    <w:p w14:paraId="52F871C4">
      <w:pPr>
        <w:pStyle w:val="2"/>
        <w:spacing w:line="242" w:lineRule="auto"/>
      </w:pPr>
    </w:p>
    <w:p w14:paraId="3E69C86C">
      <w:pPr>
        <w:pStyle w:val="2"/>
        <w:spacing w:line="242" w:lineRule="auto"/>
      </w:pPr>
    </w:p>
    <w:p w14:paraId="64C416E8">
      <w:pPr>
        <w:pStyle w:val="2"/>
        <w:spacing w:line="242" w:lineRule="auto"/>
      </w:pPr>
    </w:p>
    <w:p w14:paraId="1BE60410">
      <w:pPr>
        <w:pStyle w:val="2"/>
        <w:spacing w:line="242" w:lineRule="auto"/>
      </w:pPr>
    </w:p>
    <w:p w14:paraId="05CE25EB">
      <w:pPr>
        <w:pStyle w:val="2"/>
        <w:spacing w:line="242" w:lineRule="auto"/>
      </w:pPr>
    </w:p>
    <w:p w14:paraId="2AC48136">
      <w:pPr>
        <w:pStyle w:val="2"/>
        <w:spacing w:line="242" w:lineRule="auto"/>
      </w:pPr>
    </w:p>
    <w:p w14:paraId="13AF64CA">
      <w:pPr>
        <w:pStyle w:val="2"/>
        <w:spacing w:line="242" w:lineRule="auto"/>
      </w:pPr>
    </w:p>
    <w:p w14:paraId="0BB480B2">
      <w:pPr>
        <w:pStyle w:val="2"/>
        <w:spacing w:line="242" w:lineRule="auto"/>
      </w:pPr>
    </w:p>
    <w:p w14:paraId="788AE01D">
      <w:pPr>
        <w:pStyle w:val="2"/>
        <w:spacing w:line="242" w:lineRule="auto"/>
      </w:pPr>
    </w:p>
    <w:p w14:paraId="3AA23FFC">
      <w:pPr>
        <w:pStyle w:val="2"/>
        <w:spacing w:line="243" w:lineRule="auto"/>
      </w:pPr>
    </w:p>
    <w:p w14:paraId="33E864CB">
      <w:pPr>
        <w:pStyle w:val="2"/>
        <w:spacing w:line="243" w:lineRule="auto"/>
      </w:pPr>
    </w:p>
    <w:p w14:paraId="0D0C95D1">
      <w:pPr>
        <w:pStyle w:val="2"/>
        <w:spacing w:line="243" w:lineRule="auto"/>
      </w:pPr>
    </w:p>
    <w:p w14:paraId="36C69A62">
      <w:pPr>
        <w:pStyle w:val="2"/>
        <w:spacing w:line="243" w:lineRule="auto"/>
      </w:pPr>
    </w:p>
    <w:p w14:paraId="5233F9A1">
      <w:pPr>
        <w:pStyle w:val="2"/>
        <w:spacing w:line="243" w:lineRule="auto"/>
      </w:pPr>
    </w:p>
    <w:p w14:paraId="63888392">
      <w:pPr>
        <w:pStyle w:val="2"/>
        <w:spacing w:line="243" w:lineRule="auto"/>
      </w:pPr>
    </w:p>
    <w:p w14:paraId="2137FE38">
      <w:pPr>
        <w:pStyle w:val="2"/>
        <w:spacing w:line="243" w:lineRule="auto"/>
      </w:pPr>
    </w:p>
    <w:p w14:paraId="7E2520E9">
      <w:pPr>
        <w:pStyle w:val="2"/>
        <w:spacing w:line="243" w:lineRule="auto"/>
      </w:pPr>
    </w:p>
    <w:p w14:paraId="1C840F52">
      <w:pPr>
        <w:pStyle w:val="2"/>
        <w:spacing w:line="243" w:lineRule="auto"/>
      </w:pPr>
    </w:p>
    <w:p w14:paraId="40DFBF55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napToGrid/>
          <w:kern w:val="2"/>
          <w:sz w:val="32"/>
          <w:szCs w:val="32"/>
          <w:lang w:eastAsia="zh-CN"/>
        </w:rPr>
        <w:t xml:space="preserve"> 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Arial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default" w:ascii="仿宋" w:hAnsi="仿宋" w:eastAsia="仿宋" w:cs="Arial"/>
          <w:snapToGrid/>
          <w:kern w:val="2"/>
          <w:sz w:val="32"/>
          <w:szCs w:val="32"/>
          <w:lang w:eastAsia="zh-CN"/>
        </w:rPr>
        <w:t>日</w:t>
      </w:r>
    </w:p>
    <w:p w14:paraId="419F1E8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ascii="仿宋" w:hAnsi="仿宋" w:eastAsia="仿宋" w:cs="Arial"/>
          <w:snapToGrid/>
          <w:kern w:val="2"/>
          <w:sz w:val="44"/>
          <w:szCs w:val="44"/>
          <w:lang w:eastAsia="zh-CN"/>
        </w:rPr>
        <w:sectPr>
          <w:footerReference r:id="rId5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4F7328B6">
      <w:pPr>
        <w:pStyle w:val="2"/>
        <w:spacing w:line="289" w:lineRule="auto"/>
      </w:pPr>
    </w:p>
    <w:p w14:paraId="4AB61596">
      <w:pPr>
        <w:pStyle w:val="2"/>
        <w:spacing w:line="290" w:lineRule="auto"/>
      </w:pPr>
    </w:p>
    <w:p w14:paraId="10038087">
      <w:pPr>
        <w:spacing w:before="140" w:line="223" w:lineRule="auto"/>
        <w:ind w:left="3502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Times New Roman"/>
          <w:snapToGrid/>
          <w:kern w:val="2"/>
          <w:sz w:val="44"/>
          <w:szCs w:val="22"/>
          <w:lang w:eastAsia="zh-CN"/>
        </w:rPr>
        <w:t>目   录</w:t>
      </w:r>
    </w:p>
    <w:p w14:paraId="386750F7">
      <w:pPr>
        <w:pStyle w:val="2"/>
        <w:spacing w:line="341" w:lineRule="auto"/>
      </w:pPr>
    </w:p>
    <w:p w14:paraId="403E1EDF">
      <w:pPr>
        <w:pStyle w:val="2"/>
        <w:spacing w:line="342" w:lineRule="auto"/>
      </w:pPr>
    </w:p>
    <w:p w14:paraId="3D615EF7">
      <w:pPr>
        <w:spacing w:before="101" w:line="223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第一部分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部门概况</w:t>
      </w:r>
    </w:p>
    <w:p w14:paraId="4D45C96A">
      <w:pPr>
        <w:spacing w:before="24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一、部门职责</w:t>
      </w:r>
    </w:p>
    <w:p w14:paraId="640638DC">
      <w:pPr>
        <w:spacing w:before="250" w:line="222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二、机构设置及部门决算单位构成</w:t>
      </w:r>
    </w:p>
    <w:p w14:paraId="68B56200">
      <w:pPr>
        <w:spacing w:before="250" w:line="223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第二部分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2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2"/>
          <w:sz w:val="31"/>
          <w:szCs w:val="31"/>
        </w:rPr>
        <w:t>年度部门决算表</w:t>
      </w:r>
    </w:p>
    <w:p w14:paraId="11A40A4B">
      <w:pPr>
        <w:spacing w:before="250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一、收入支出决算总表</w:t>
      </w:r>
    </w:p>
    <w:p w14:paraId="1C5BCCFB">
      <w:pPr>
        <w:spacing w:before="250" w:line="223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二、收入决算表</w:t>
      </w:r>
    </w:p>
    <w:p w14:paraId="3CA95F16">
      <w:pPr>
        <w:spacing w:before="249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三、支出决算表</w:t>
      </w:r>
    </w:p>
    <w:p w14:paraId="08543CE1">
      <w:pPr>
        <w:spacing w:before="250" w:line="223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四、财政拨款收入支出决算总表</w:t>
      </w:r>
    </w:p>
    <w:p w14:paraId="4EB63848">
      <w:pPr>
        <w:spacing w:before="24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五、一般公共预算财政拨款支出决算表</w:t>
      </w:r>
    </w:p>
    <w:p w14:paraId="4C04E795">
      <w:pPr>
        <w:spacing w:before="250" w:line="223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六、一般公共预算财政拨款基本支出决算明细表</w:t>
      </w:r>
    </w:p>
    <w:p w14:paraId="35EBE4B8">
      <w:pPr>
        <w:spacing w:before="251" w:line="221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七、政府性基金预算财政拨款收入支出决算表</w:t>
      </w:r>
    </w:p>
    <w:p w14:paraId="15DAFFC7">
      <w:pPr>
        <w:spacing w:before="252" w:line="223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国有资本经营预算财政拨款支出决算表</w:t>
      </w:r>
    </w:p>
    <w:p w14:paraId="341C4F9F">
      <w:pPr>
        <w:spacing w:before="249" w:line="223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九、财政拨款“三公”经费支出决算表</w:t>
      </w:r>
    </w:p>
    <w:p w14:paraId="4CF75C30">
      <w:pPr>
        <w:spacing w:before="250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十、部门预算项目支出绩效自评表</w:t>
      </w:r>
    </w:p>
    <w:p w14:paraId="3DCFAF7B">
      <w:pPr>
        <w:spacing w:before="249" w:line="223" w:lineRule="auto"/>
        <w:ind w:left="49"/>
        <w:outlineLvl w:val="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第三部分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3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3"/>
          <w:sz w:val="31"/>
          <w:szCs w:val="31"/>
        </w:rPr>
        <w:t>年度部门决算情况说明</w:t>
      </w:r>
    </w:p>
    <w:p w14:paraId="031C4768">
      <w:pPr>
        <w:spacing w:before="250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一、收入支出决算总体情况说明</w:t>
      </w:r>
    </w:p>
    <w:p w14:paraId="2DD6BC2A">
      <w:pPr>
        <w:spacing w:before="250" w:line="223" w:lineRule="auto"/>
        <w:ind w:left="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二、收入决算情况说明</w:t>
      </w:r>
    </w:p>
    <w:p w14:paraId="29D7507B">
      <w:pPr>
        <w:spacing w:before="250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三、支出决算情况说明</w:t>
      </w:r>
    </w:p>
    <w:p w14:paraId="55B3D7C4">
      <w:pPr>
        <w:spacing w:before="249" w:line="223" w:lineRule="auto"/>
        <w:ind w:left="7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四、财政拨款收入支出决算总体情况说明</w:t>
      </w:r>
    </w:p>
    <w:p w14:paraId="1BACECF7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26A7C3B7">
      <w:pPr>
        <w:spacing w:before="159" w:line="223" w:lineRule="auto"/>
        <w:ind w:left="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五、一般公共预算财政拨款支出决算情况说明</w:t>
      </w:r>
    </w:p>
    <w:p w14:paraId="224B17F6">
      <w:pPr>
        <w:spacing w:before="249" w:line="223" w:lineRule="auto"/>
        <w:ind w:left="3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六、一般公共预算财政拨款基本支出决算情况说明</w:t>
      </w:r>
    </w:p>
    <w:p w14:paraId="44FE1C95">
      <w:pPr>
        <w:spacing w:before="250" w:line="221" w:lineRule="auto"/>
        <w:ind w:left="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七、政府性基金预算财政拨款收入支出决算情况说明</w:t>
      </w:r>
    </w:p>
    <w:p w14:paraId="2CEF7F7A">
      <w:pPr>
        <w:spacing w:before="251" w:line="223" w:lineRule="auto"/>
        <w:ind w:left="3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八、</w:t>
      </w:r>
      <w:r>
        <w:rPr>
          <w:rFonts w:hint="default" w:ascii="Times New Roman" w:hAnsi="Times New Roman" w:eastAsia="仿宋_GB2312" w:cs="Times New Roman"/>
          <w:spacing w:val="-9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国有资本经营预算财政拨款支出决算情况说明</w:t>
      </w:r>
    </w:p>
    <w:p w14:paraId="533A1858">
      <w:pPr>
        <w:spacing w:before="250" w:line="223" w:lineRule="auto"/>
        <w:ind w:left="4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 w14:paraId="429A8991">
      <w:pPr>
        <w:spacing w:before="249" w:line="224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十、绩效评价情况说明</w:t>
      </w:r>
    </w:p>
    <w:p w14:paraId="73EADD1E">
      <w:pPr>
        <w:spacing w:before="248" w:line="223" w:lineRule="auto"/>
        <w:ind w:left="4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十一、其他重要事项情况说明</w:t>
      </w:r>
    </w:p>
    <w:p w14:paraId="62E8EF26">
      <w:pPr>
        <w:spacing w:before="250" w:line="224" w:lineRule="auto"/>
        <w:ind w:left="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第四部分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名词解释</w:t>
      </w:r>
    </w:p>
    <w:p w14:paraId="10C01C63">
      <w:pPr>
        <w:spacing w:line="22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7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01B92213">
      <w:pPr>
        <w:pStyle w:val="2"/>
        <w:spacing w:line="328" w:lineRule="auto"/>
      </w:pPr>
    </w:p>
    <w:p w14:paraId="41053DBA">
      <w:pPr>
        <w:pStyle w:val="2"/>
        <w:spacing w:line="328" w:lineRule="auto"/>
      </w:pPr>
    </w:p>
    <w:p w14:paraId="4240DF36">
      <w:pPr>
        <w:spacing w:before="189" w:line="443" w:lineRule="exact"/>
        <w:ind w:left="2215"/>
        <w:outlineLvl w:val="0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第一部分</w:t>
      </w:r>
      <w:r>
        <w:rPr>
          <w:rFonts w:hint="default" w:ascii="Times New Roman" w:hAnsi="Times New Roman" w:eastAsia="仿宋_GB2312" w:cs="Times New Roman"/>
          <w:b/>
          <w:bCs/>
          <w:spacing w:val="1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pacing w:val="1"/>
          <w:position w:val="-2"/>
          <w:sz w:val="44"/>
          <w:szCs w:val="44"/>
        </w:rPr>
        <w:t>部门概况</w:t>
      </w:r>
    </w:p>
    <w:p w14:paraId="16CAD4C5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445A0120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73C264C0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17CCC6C5">
      <w:pPr>
        <w:spacing w:before="101" w:line="224" w:lineRule="auto"/>
        <w:ind w:left="75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一、部门主要职责</w:t>
      </w:r>
    </w:p>
    <w:p w14:paraId="474E8535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长春市第二十一中学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为全民所有制公办中学，学制三年。</w:t>
      </w:r>
      <w:r>
        <w:rPr>
          <w:rFonts w:hint="eastAsia" w:ascii="宋体" w:hAnsi="宋体" w:eastAsia="宋体"/>
          <w:sz w:val="28"/>
          <w:szCs w:val="28"/>
        </w:rPr>
        <w:t>实施中学义务教育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促进基础教育发展。初级中学学历教育。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我单位为全额拨款事业单位，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全面贯彻党和国家的教育方针，以素质教育为核心，把学校办成“环境优美、师资精良、质量上乘、特色突出、能让学生健康、快乐、全面发展的现代学校.</w:t>
      </w:r>
    </w:p>
    <w:p w14:paraId="508C1BD5">
      <w:pPr>
        <w:spacing w:before="251" w:line="224" w:lineRule="auto"/>
        <w:ind w:left="672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二、机构设置及部门决算单位构成</w:t>
      </w:r>
    </w:p>
    <w:p w14:paraId="2989AF95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我单位现有教师40人，编制为39人，退休教师32人。学校校长1人，主持学校全面工作兼任党支部书记。主任3人.</w:t>
      </w:r>
      <w:r>
        <w:rPr>
          <w:rFonts w:hint="eastAsia" w:ascii="宋体" w:hAnsi="宋体" w:eastAsia="宋体"/>
          <w:sz w:val="28"/>
          <w:szCs w:val="28"/>
        </w:rPr>
        <w:t>长春市第二十一中学无内设机构。我单位现处于人员分流，所有学生都划转到东北师大附中实验校中。现学校只有人员经费，其他经费都纳入到附中核算。</w:t>
      </w:r>
    </w:p>
    <w:p w14:paraId="471EC289">
      <w:pPr>
        <w:spacing w:line="355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8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04B6B404">
      <w:pPr>
        <w:pStyle w:val="2"/>
        <w:spacing w:line="328" w:lineRule="auto"/>
        <w:rPr>
          <w:rFonts w:hint="default" w:ascii="Times New Roman" w:hAnsi="Times New Roman" w:eastAsia="仿宋_GB2312" w:cs="Times New Roman"/>
        </w:rPr>
      </w:pPr>
    </w:p>
    <w:p w14:paraId="795A28E3">
      <w:pPr>
        <w:pStyle w:val="2"/>
        <w:spacing w:line="328" w:lineRule="auto"/>
        <w:rPr>
          <w:rFonts w:hint="default" w:ascii="Times New Roman" w:hAnsi="Times New Roman" w:eastAsia="仿宋_GB2312" w:cs="Times New Roman"/>
        </w:rPr>
      </w:pPr>
    </w:p>
    <w:p w14:paraId="0E6DA4F8">
      <w:pPr>
        <w:spacing w:before="189" w:line="186" w:lineRule="auto"/>
        <w:ind w:left="1142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第二部分</w:t>
      </w:r>
      <w:r>
        <w:rPr>
          <w:rFonts w:hint="default" w:ascii="Times New Roman" w:hAnsi="Times New Roman" w:eastAsia="仿宋_GB2312" w:cs="Times New Roman"/>
          <w:b/>
          <w:bCs/>
          <w:spacing w:val="111"/>
          <w:sz w:val="44"/>
          <w:szCs w:val="44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43"/>
          <w:szCs w:val="43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43"/>
          <w:szCs w:val="4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>年度部门决算表</w:t>
      </w:r>
    </w:p>
    <w:p w14:paraId="0D996A4A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170EF5A2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7E3E0CC2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0FB68740">
      <w:pPr>
        <w:spacing w:before="100" w:line="224" w:lineRule="auto"/>
        <w:ind w:left="672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一、收入支出决算总表</w:t>
      </w:r>
    </w:p>
    <w:p w14:paraId="43B4F694">
      <w:pPr>
        <w:spacing w:before="101" w:line="5918" w:lineRule="exact"/>
        <w:ind w:firstLine="19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88280" cy="4055745"/>
            <wp:effectExtent l="0" t="0" r="7620" b="1905"/>
            <wp:docPr id="2" name="图片 2" descr="9db50c59056a0d6d2772c4728b94a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b50c59056a0d6d2772c4728b94a72b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3E44">
      <w:pPr>
        <w:pStyle w:val="2"/>
        <w:spacing w:line="337" w:lineRule="auto"/>
        <w:rPr>
          <w:rFonts w:hint="default" w:ascii="Times New Roman" w:hAnsi="Times New Roman" w:eastAsia="仿宋_GB2312" w:cs="Times New Roman"/>
        </w:rPr>
      </w:pPr>
    </w:p>
    <w:p w14:paraId="68EE6C68">
      <w:pPr>
        <w:pStyle w:val="2"/>
        <w:spacing w:line="338" w:lineRule="auto"/>
        <w:rPr>
          <w:rFonts w:hint="default" w:ascii="Times New Roman" w:hAnsi="Times New Roman" w:eastAsia="仿宋_GB2312" w:cs="Times New Roman"/>
        </w:rPr>
      </w:pPr>
    </w:p>
    <w:p w14:paraId="5D4AE972">
      <w:pPr>
        <w:spacing w:line="22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9" w:type="default"/>
          <w:pgSz w:w="11907" w:h="16839"/>
          <w:pgMar w:top="1431" w:right="1785" w:bottom="1150" w:left="1785" w:header="0" w:footer="965" w:gutter="0"/>
          <w:cols w:space="720" w:num="1"/>
        </w:sectPr>
      </w:pPr>
    </w:p>
    <w:p w14:paraId="7D0CFDB7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5634FEB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2EFBDCCE">
      <w:pPr>
        <w:spacing w:before="101" w:line="224" w:lineRule="auto"/>
        <w:ind w:left="672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二、收入决算表</w:t>
      </w:r>
    </w:p>
    <w:p w14:paraId="6F5BDAA0">
      <w:pPr>
        <w:spacing w:before="209" w:line="5702" w:lineRule="exact"/>
        <w:ind w:firstLine="324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287010" cy="1160145"/>
            <wp:effectExtent l="0" t="0" r="889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870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DB578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05CB8D7E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7743FF46">
      <w:pPr>
        <w:pStyle w:val="2"/>
        <w:spacing w:line="262" w:lineRule="auto"/>
        <w:rPr>
          <w:rFonts w:hint="default" w:ascii="Times New Roman" w:hAnsi="Times New Roman" w:eastAsia="仿宋_GB2312" w:cs="Times New Roman"/>
        </w:rPr>
      </w:pPr>
    </w:p>
    <w:p w14:paraId="71D251A7">
      <w:pPr>
        <w:spacing w:line="356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0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0472B345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4CE3B43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1B78FA09">
      <w:pPr>
        <w:spacing w:before="101" w:line="224" w:lineRule="auto"/>
        <w:ind w:left="674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三、支出决算表</w:t>
      </w:r>
    </w:p>
    <w:p w14:paraId="13784C88">
      <w:pPr>
        <w:spacing w:before="151" w:line="5818" w:lineRule="exact"/>
        <w:ind w:firstLine="240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290820" cy="1332865"/>
            <wp:effectExtent l="0" t="0" r="508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E63D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20D3CCD9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0322DCC5">
      <w:pPr>
        <w:pStyle w:val="2"/>
        <w:spacing w:line="242" w:lineRule="auto"/>
        <w:rPr>
          <w:rFonts w:hint="default" w:ascii="Times New Roman" w:hAnsi="Times New Roman" w:eastAsia="仿宋_GB2312" w:cs="Times New Roman"/>
        </w:rPr>
      </w:pPr>
    </w:p>
    <w:p w14:paraId="5EBB03AE">
      <w:pPr>
        <w:spacing w:line="356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1" w:type="default"/>
          <w:pgSz w:w="11907" w:h="16839"/>
          <w:pgMar w:top="1431" w:right="1785" w:bottom="1150" w:left="1785" w:header="0" w:footer="965" w:gutter="0"/>
          <w:cols w:space="720" w:num="1"/>
        </w:sectPr>
      </w:pPr>
    </w:p>
    <w:p w14:paraId="23B9C86A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1A9D4B8D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1E400847">
      <w:pPr>
        <w:spacing w:before="101" w:line="224" w:lineRule="auto"/>
        <w:ind w:left="686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四、财政拨款收入支出决算总表</w:t>
      </w:r>
    </w:p>
    <w:p w14:paraId="7A37A58A">
      <w:pPr>
        <w:pStyle w:val="2"/>
        <w:spacing w:line="245" w:lineRule="auto"/>
        <w:rPr>
          <w:rFonts w:hint="default" w:ascii="Times New Roman" w:hAnsi="Times New Roman" w:eastAsia="仿宋_GB2312" w:cs="Times New Roman"/>
        </w:rPr>
      </w:pPr>
    </w:p>
    <w:p w14:paraId="535F0468">
      <w:pPr>
        <w:spacing w:line="4378" w:lineRule="exact"/>
        <w:ind w:firstLine="14"/>
        <w:rPr>
          <w:rFonts w:hint="default" w:ascii="Times New Roman" w:hAnsi="Times New Roman" w:eastAsia="仿宋_GB2312" w:cs="Times New Roman"/>
        </w:rPr>
      </w:pPr>
    </w:p>
    <w:p w14:paraId="2C8CEDD7">
      <w:pPr>
        <w:pStyle w:val="2"/>
        <w:spacing w:line="273" w:lineRule="auto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290820" cy="3583940"/>
            <wp:effectExtent l="0" t="0" r="5080" b="165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CBA4A">
      <w:pPr>
        <w:pStyle w:val="2"/>
        <w:spacing w:line="273" w:lineRule="auto"/>
        <w:rPr>
          <w:rFonts w:hint="default" w:ascii="Times New Roman" w:hAnsi="Times New Roman" w:eastAsia="仿宋_GB2312" w:cs="Times New Roman"/>
        </w:rPr>
      </w:pPr>
    </w:p>
    <w:p w14:paraId="4F58EFFD">
      <w:pPr>
        <w:pStyle w:val="2"/>
        <w:spacing w:line="274" w:lineRule="auto"/>
        <w:rPr>
          <w:rFonts w:hint="default" w:ascii="Times New Roman" w:hAnsi="Times New Roman" w:eastAsia="仿宋_GB2312" w:cs="Times New Roman"/>
        </w:rPr>
      </w:pPr>
    </w:p>
    <w:p w14:paraId="00C0479F">
      <w:pPr>
        <w:spacing w:line="22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2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629106D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725DB8FB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67B25734">
      <w:pPr>
        <w:spacing w:before="100" w:line="224" w:lineRule="auto"/>
        <w:ind w:left="676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五、一般公共预算财政拨款支出决算表</w:t>
      </w:r>
    </w:p>
    <w:p w14:paraId="5B8FD31E">
      <w:pPr>
        <w:spacing w:before="229" w:line="4102" w:lineRule="exact"/>
        <w:ind w:firstLine="14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283835" cy="680720"/>
            <wp:effectExtent l="0" t="0" r="12065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726E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5568232D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0EA9F6A4">
      <w:pPr>
        <w:pStyle w:val="2"/>
        <w:spacing w:line="268" w:lineRule="auto"/>
        <w:rPr>
          <w:rFonts w:hint="default" w:ascii="Times New Roman" w:hAnsi="Times New Roman" w:eastAsia="仿宋_GB2312" w:cs="Times New Roman"/>
        </w:rPr>
      </w:pPr>
    </w:p>
    <w:p w14:paraId="243AF135">
      <w:pPr>
        <w:spacing w:line="361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3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64573699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908997F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73009A2D">
      <w:pPr>
        <w:spacing w:before="100" w:line="224" w:lineRule="auto"/>
        <w:ind w:left="677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六、一般公共预算财政拨款基本支出决算明细表</w:t>
      </w:r>
    </w:p>
    <w:p w14:paraId="38C4E18E">
      <w:pPr>
        <w:spacing w:before="234" w:line="5964" w:lineRule="exact"/>
        <w:ind w:firstLine="237"/>
        <w:rPr>
          <w:rFonts w:hint="eastAsia" w:ascii="Times New Roman" w:hAnsi="Times New Roman" w:eastAsia="仿宋_GB2312" w:cs="Times New Roman"/>
          <w:lang w:eastAsia="zh-CN"/>
        </w:rPr>
      </w:pPr>
      <w:r>
        <w:drawing>
          <wp:inline distT="0" distB="0" distL="114300" distR="114300">
            <wp:extent cx="5290820" cy="3146425"/>
            <wp:effectExtent l="0" t="0" r="5080" b="158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9082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5E070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05D5A25F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1D68958F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376906B0">
      <w:pPr>
        <w:spacing w:line="361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4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89B6BC6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06EAAFEB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3E8D47EE">
      <w:pPr>
        <w:spacing w:before="101" w:line="224" w:lineRule="auto"/>
        <w:ind w:left="666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七、政府性基金预算财政拨款收入支出决算表</w:t>
      </w:r>
    </w:p>
    <w:p w14:paraId="333B73A5">
      <w:pPr>
        <w:spacing w:before="235" w:line="4714" w:lineRule="exact"/>
        <w:ind w:firstLine="24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83835" cy="1120775"/>
            <wp:effectExtent l="0" t="0" r="12065" b="3175"/>
            <wp:docPr id="9" name="图片 9" descr="f35abcc571bbe5fdc42b8433c692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35abcc571bbe5fdc42b8433c692fe6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CC0C4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0AFD84DB">
      <w:pPr>
        <w:pStyle w:val="2"/>
        <w:spacing w:line="270" w:lineRule="auto"/>
        <w:rPr>
          <w:rFonts w:hint="default" w:ascii="Times New Roman" w:hAnsi="Times New Roman" w:eastAsia="仿宋_GB2312" w:cs="Times New Roman"/>
        </w:rPr>
      </w:pPr>
    </w:p>
    <w:p w14:paraId="04A4F70F">
      <w:pPr>
        <w:pStyle w:val="2"/>
        <w:spacing w:line="271" w:lineRule="auto"/>
        <w:rPr>
          <w:rFonts w:hint="default" w:ascii="Times New Roman" w:hAnsi="Times New Roman" w:eastAsia="仿宋_GB2312" w:cs="Times New Roman"/>
        </w:rPr>
      </w:pPr>
    </w:p>
    <w:p w14:paraId="13E8593B">
      <w:pPr>
        <w:spacing w:line="36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5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363A30C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289AD3C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38A5F855">
      <w:pPr>
        <w:spacing w:before="101" w:line="224" w:lineRule="auto"/>
        <w:ind w:left="667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八、国有资本经营预算财政拨款支出决算表</w:t>
      </w:r>
    </w:p>
    <w:p w14:paraId="1021FD11">
      <w:pPr>
        <w:spacing w:before="182" w:line="4817" w:lineRule="exact"/>
        <w:ind w:firstLine="28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5283835" cy="1626235"/>
            <wp:effectExtent l="0" t="0" r="12065" b="12065"/>
            <wp:docPr id="10" name="图片 10" descr="c0ba3ba2ac801f81541ea81b34be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0ba3ba2ac801f81541ea81b34be67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ACCA">
      <w:pPr>
        <w:pStyle w:val="2"/>
        <w:spacing w:line="253" w:lineRule="auto"/>
        <w:rPr>
          <w:rFonts w:hint="default" w:ascii="Times New Roman" w:hAnsi="Times New Roman" w:eastAsia="仿宋_GB2312" w:cs="Times New Roman"/>
        </w:rPr>
      </w:pPr>
    </w:p>
    <w:p w14:paraId="2B34EB64">
      <w:pPr>
        <w:pStyle w:val="2"/>
        <w:spacing w:line="253" w:lineRule="auto"/>
        <w:rPr>
          <w:rFonts w:hint="default" w:ascii="Times New Roman" w:hAnsi="Times New Roman" w:eastAsia="仿宋_GB2312" w:cs="Times New Roman"/>
        </w:rPr>
      </w:pPr>
    </w:p>
    <w:p w14:paraId="098B3AB7">
      <w:pPr>
        <w:pStyle w:val="2"/>
        <w:spacing w:line="253" w:lineRule="auto"/>
        <w:rPr>
          <w:rFonts w:hint="default" w:ascii="Times New Roman" w:hAnsi="Times New Roman" w:eastAsia="仿宋_GB2312" w:cs="Times New Roman"/>
        </w:rPr>
      </w:pPr>
    </w:p>
    <w:p w14:paraId="42ADB45D">
      <w:pPr>
        <w:spacing w:line="36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3065452D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47411C75">
      <w:pPr>
        <w:pStyle w:val="2"/>
        <w:spacing w:line="340" w:lineRule="auto"/>
        <w:rPr>
          <w:rFonts w:hint="default" w:ascii="Times New Roman" w:hAnsi="Times New Roman" w:eastAsia="仿宋_GB2312" w:cs="Times New Roman"/>
        </w:rPr>
      </w:pPr>
    </w:p>
    <w:p w14:paraId="4466C9A8">
      <w:pPr>
        <w:spacing w:before="101" w:line="224" w:lineRule="auto"/>
        <w:ind w:left="675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九、财政拨款“三公”经费支出决算表</w:t>
      </w:r>
    </w:p>
    <w:p w14:paraId="4DB213FA">
      <w:pPr>
        <w:spacing w:before="96" w:line="5302" w:lineRule="exact"/>
        <w:ind w:firstLine="237"/>
        <w:rPr>
          <w:rFonts w:hint="default" w:ascii="Times New Roman" w:hAnsi="Times New Roman" w:eastAsia="仿宋_GB2312" w:cs="Times New Roman"/>
        </w:rPr>
      </w:pPr>
      <w:r>
        <w:drawing>
          <wp:inline distT="0" distB="0" distL="114300" distR="114300">
            <wp:extent cx="5271135" cy="18580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C143B">
      <w:pPr>
        <w:spacing w:before="154" w:line="362" w:lineRule="auto"/>
        <w:ind w:left="32" w:right="12" w:firstLine="643"/>
        <w:jc w:val="both"/>
        <w:rPr>
          <w:rFonts w:hint="eastAsia" w:ascii="Times New Roman" w:hAnsi="Times New Roman" w:eastAsia="仿宋_GB2312" w:cs="Times New Roman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sectPr>
          <w:footerReference r:id="rId17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default" w:ascii="Times New Roman" w:hAnsi="Times New Roman" w:eastAsia="仿宋_GB2312" w:cs="Times New Roman"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本单位没有财政拨款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0E4AFCF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648D33E5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4D9BCED6">
      <w:pPr>
        <w:spacing w:before="100" w:line="224" w:lineRule="auto"/>
        <w:ind w:left="30"/>
        <w:rPr>
          <w:rFonts w:hint="default" w:ascii="Times New Roman" w:hAnsi="Times New Roman" w:eastAsia="仿宋_GB2312" w:cs="Times New Roman"/>
          <w:b/>
          <w:bCs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8"/>
          <w:sz w:val="31"/>
          <w:szCs w:val="31"/>
        </w:rPr>
        <w:t>十、部门预算项目支出绩效自评表</w:t>
      </w:r>
    </w:p>
    <w:p w14:paraId="68C13A7E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27D17E61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7CF5CAFF">
      <w:pPr>
        <w:pStyle w:val="2"/>
        <w:spacing w:line="261" w:lineRule="auto"/>
        <w:rPr>
          <w:rFonts w:hint="default" w:ascii="Times New Roman" w:hAnsi="Times New Roman" w:eastAsia="仿宋_GB2312" w:cs="Times New Roman"/>
        </w:rPr>
      </w:pPr>
    </w:p>
    <w:p w14:paraId="2D791A91">
      <w:pPr>
        <w:spacing w:line="9847" w:lineRule="exact"/>
        <w:ind w:firstLine="297"/>
        <w:rPr>
          <w:rFonts w:hint="eastAsia" w:ascii="Times New Roman" w:hAnsi="Times New Roman" w:eastAsia="仿宋_GB2312" w:cs="Times New Roman"/>
          <w:lang w:eastAsia="zh-CN"/>
        </w:rPr>
      </w:pPr>
    </w:p>
    <w:p w14:paraId="011AF5AA">
      <w:pPr>
        <w:spacing w:line="9847" w:lineRule="exact"/>
        <w:rPr>
          <w:rFonts w:hint="default" w:ascii="Times New Roman" w:hAnsi="Times New Roman" w:eastAsia="仿宋_GB2312" w:cs="Times New Roman"/>
        </w:rPr>
        <w:sectPr>
          <w:footerReference r:id="rId18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F4E4E6A">
      <w:pPr>
        <w:spacing w:before="225" w:line="443" w:lineRule="exact"/>
        <w:ind w:left="482"/>
        <w:outlineLvl w:val="0"/>
        <w:rPr>
          <w:rFonts w:hint="default" w:ascii="Times New Roman" w:hAnsi="Times New Roman" w:eastAsia="仿宋_GB2312" w:cs="Times New Roman"/>
          <w:b/>
          <w:bCs/>
          <w:sz w:val="43"/>
          <w:szCs w:val="43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第三部分</w:t>
      </w:r>
      <w:r>
        <w:rPr>
          <w:rFonts w:hint="default" w:ascii="Times New Roman" w:hAnsi="Times New Roman" w:eastAsia="仿宋_GB2312" w:cs="Times New Roman"/>
          <w:b/>
          <w:bCs/>
          <w:spacing w:val="103"/>
          <w:position w:val="-2"/>
          <w:sz w:val="43"/>
          <w:szCs w:val="43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5"/>
          <w:position w:val="-2"/>
          <w:sz w:val="43"/>
          <w:szCs w:val="4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pacing w:val="5"/>
          <w:position w:val="-2"/>
          <w:sz w:val="43"/>
          <w:szCs w:val="43"/>
        </w:rPr>
        <w:t>年度部门决算情况说明</w:t>
      </w:r>
    </w:p>
    <w:p w14:paraId="49E8072E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2E3A1CA3">
      <w:pPr>
        <w:pStyle w:val="2"/>
        <w:spacing w:line="314" w:lineRule="auto"/>
        <w:rPr>
          <w:rFonts w:hint="default" w:ascii="Times New Roman" w:hAnsi="Times New Roman" w:eastAsia="仿宋_GB2312" w:cs="Times New Roman"/>
        </w:rPr>
      </w:pPr>
    </w:p>
    <w:p w14:paraId="4110CAF9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6103A31F">
      <w:pPr>
        <w:spacing w:before="101" w:line="224" w:lineRule="auto"/>
        <w:ind w:left="67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一、收入支出决算总体情况说明</w:t>
      </w:r>
    </w:p>
    <w:p w14:paraId="23CE7382">
      <w:pPr>
        <w:spacing w:before="248" w:line="362" w:lineRule="auto"/>
        <w:ind w:left="36" w:right="113" w:firstLine="63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年度收、支总计均为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万元。与</w:t>
      </w:r>
      <w:r>
        <w:rPr>
          <w:rFonts w:hint="default" w:ascii="Times New Roman" w:hAnsi="Times New Roman" w:eastAsia="仿宋_GB2312" w:cs="Times New Roman"/>
          <w:spacing w:val="-3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3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年度相比，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收、支总计各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减少7.85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下降0.5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%。主</w:t>
      </w:r>
      <w:r>
        <w:rPr>
          <w:rFonts w:hint="default" w:ascii="Times New Roman" w:hAnsi="Times New Roman" w:eastAsia="仿宋_GB2312" w:cs="Times New Roman"/>
          <w:spacing w:val="-10"/>
          <w:sz w:val="31"/>
          <w:szCs w:val="31"/>
        </w:rPr>
        <w:t>要原因：</w:t>
      </w:r>
      <w:r>
        <w:rPr>
          <w:rFonts w:hint="default" w:ascii="Times New Roman" w:hAnsi="Times New Roman" w:eastAsia="仿宋_GB2312" w:cs="Times New Roman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68"/>
          <w:sz w:val="31"/>
          <w:szCs w:val="31"/>
          <w:lang w:val="en-US" w:eastAsia="zh-CN"/>
        </w:rPr>
        <w:t>人员减少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。</w:t>
      </w:r>
    </w:p>
    <w:p w14:paraId="157B4EDF">
      <w:pPr>
        <w:spacing w:before="50" w:line="224" w:lineRule="auto"/>
        <w:ind w:left="67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二、收入决算情况说明</w:t>
      </w:r>
    </w:p>
    <w:p w14:paraId="3559507E">
      <w:pPr>
        <w:spacing w:before="253" w:line="368" w:lineRule="auto"/>
        <w:ind w:left="23" w:firstLine="644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本年收入合计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万元，其中：财政拨款收入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上年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减少7.8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下降0.5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 xml:space="preserve"> %，主要是</w:t>
      </w:r>
      <w:r>
        <w:rPr>
          <w:rFonts w:hint="default" w:ascii="Times New Roman" w:hAnsi="Times New Roman" w:eastAsia="仿宋_GB2312" w:cs="Times New Roman"/>
          <w:spacing w:val="-9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68"/>
          <w:sz w:val="31"/>
          <w:szCs w:val="31"/>
          <w:lang w:val="en-US" w:eastAsia="zh-CN"/>
        </w:rPr>
        <w:t>人员减少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；上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级补助收入</w:t>
      </w:r>
      <w:r>
        <w:rPr>
          <w:rFonts w:hint="eastAsia" w:ascii="Times New Roman" w:hAnsi="Times New Roman" w:eastAsia="仿宋_GB2312" w:cs="Times New Roman"/>
          <w:spacing w:val="-1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-1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1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主要是</w:t>
      </w:r>
      <w:r>
        <w:rPr>
          <w:rFonts w:hint="default" w:ascii="Times New Roman" w:hAnsi="Times New Roman" w:eastAsia="仿宋_GB2312" w:cs="Times New Roman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……；事业收入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比上年增加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%，主要是</w:t>
      </w:r>
      <w:r>
        <w:rPr>
          <w:rFonts w:hint="default" w:ascii="Times New Roman" w:hAnsi="Times New Roman" w:eastAsia="仿宋_GB2312" w:cs="Times New Roman"/>
          <w:spacing w:val="-10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……；经营收入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上年增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加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 %，主要是</w:t>
      </w:r>
      <w:r>
        <w:rPr>
          <w:rFonts w:hint="default" w:ascii="Times New Roman" w:hAnsi="Times New Roman" w:eastAsia="仿宋_GB2312" w:cs="Times New Roman"/>
          <w:spacing w:val="-10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……；附属单位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上缴收入</w:t>
      </w:r>
      <w:r>
        <w:rPr>
          <w:rFonts w:hint="eastAsia" w:ascii="Times New Roman" w:hAnsi="Times New Roman" w:eastAsia="仿宋_GB2312" w:cs="Times New Roman"/>
          <w:spacing w:val="-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-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主要是</w:t>
      </w:r>
      <w:r>
        <w:rPr>
          <w:rFonts w:hint="default" w:ascii="Times New Roman" w:hAnsi="Times New Roman" w:eastAsia="仿宋_GB2312" w:cs="Times New Roman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……；其他收入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比上年增加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%，主要是</w:t>
      </w:r>
      <w:r>
        <w:rPr>
          <w:rFonts w:hint="default" w:ascii="Times New Roman" w:hAnsi="Times New Roman" w:eastAsia="仿宋_GB2312" w:cs="Times New Roman"/>
          <w:spacing w:val="-9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……。</w:t>
      </w:r>
    </w:p>
    <w:p w14:paraId="73090908">
      <w:pPr>
        <w:spacing w:line="356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19" w:type="default"/>
          <w:pgSz w:w="11907" w:h="16839"/>
          <w:pgMar w:top="1431" w:right="1714" w:bottom="1153" w:left="1785" w:header="0" w:footer="965" w:gutter="0"/>
          <w:cols w:space="720" w:num="1"/>
        </w:sectPr>
      </w:pPr>
    </w:p>
    <w:p w14:paraId="733A312B">
      <w:pPr>
        <w:spacing w:before="158" w:line="224" w:lineRule="auto"/>
        <w:ind w:left="67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三、支出决算情况说明</w:t>
      </w:r>
    </w:p>
    <w:p w14:paraId="3C3C390D">
      <w:pPr>
        <w:spacing w:before="251" w:line="368" w:lineRule="auto"/>
        <w:ind w:left="21" w:firstLine="6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本年支出合计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万元，其中：基本支出</w:t>
      </w:r>
      <w:r>
        <w:rPr>
          <w:rFonts w:hint="eastAsia" w:ascii="Times New Roman" w:hAnsi="Times New Roman" w:eastAsia="仿宋_GB2312" w:cs="Times New Roman"/>
          <w:spacing w:val="24"/>
          <w:sz w:val="31"/>
          <w:szCs w:val="31"/>
          <w:lang w:val="en-US" w:eastAsia="zh-CN"/>
        </w:rPr>
        <w:t>846.27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比上年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减少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350.6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万元，下降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14.95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%，主要是</w:t>
      </w:r>
      <w:r>
        <w:rPr>
          <w:rFonts w:hint="default" w:ascii="Times New Roman" w:hAnsi="Times New Roman" w:eastAsia="仿宋_GB2312" w:cs="Times New Roman"/>
          <w:spacing w:val="-100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教育支出减少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；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项目支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47"/>
          <w:sz w:val="31"/>
          <w:szCs w:val="31"/>
          <w:lang w:val="en-US" w:eastAsia="zh-CN"/>
        </w:rPr>
        <w:t>493.41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比上年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增加342.75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增加76.62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%，主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要是</w:t>
      </w:r>
      <w:r>
        <w:rPr>
          <w:rFonts w:hint="default" w:ascii="Times New Roman" w:hAnsi="Times New Roman" w:eastAsia="仿宋_GB2312" w:cs="Times New Roman"/>
          <w:spacing w:val="-86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2"/>
          <w:sz w:val="31"/>
          <w:szCs w:val="31"/>
          <w:lang w:val="en-US" w:eastAsia="zh-CN"/>
        </w:rPr>
        <w:t>教育支出增加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；上缴上级支出</w:t>
      </w:r>
      <w:r>
        <w:rPr>
          <w:rFonts w:hint="eastAsia" w:ascii="Times New Roman" w:hAnsi="Times New Roman" w:eastAsia="仿宋_GB2312" w:cs="Times New Roman"/>
          <w:spacing w:val="-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-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%，主要是</w:t>
      </w:r>
      <w:r>
        <w:rPr>
          <w:rFonts w:hint="default" w:ascii="Times New Roman" w:hAnsi="Times New Roman" w:eastAsia="仿宋_GB2312" w:cs="Times New Roman"/>
          <w:spacing w:val="-9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……</w:t>
      </w:r>
      <w:r>
        <w:rPr>
          <w:rFonts w:hint="default" w:ascii="Times New Roman" w:hAnsi="Times New Roman" w:eastAsia="仿宋_GB2312" w:cs="Times New Roman"/>
          <w:spacing w:val="-1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；经营支出</w:t>
      </w:r>
      <w:r>
        <w:rPr>
          <w:rFonts w:hint="eastAsia" w:ascii="Times New Roman" w:hAnsi="Times New Roman" w:eastAsia="仿宋_GB2312" w:cs="Times New Roman"/>
          <w:spacing w:val="46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比上年增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加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 %，主要是</w:t>
      </w:r>
      <w:r>
        <w:rPr>
          <w:rFonts w:hint="default" w:ascii="Times New Roman" w:hAnsi="Times New Roman" w:eastAsia="仿宋_GB2312" w:cs="Times New Roman"/>
          <w:spacing w:val="-10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……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；对附属单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位补助支出</w:t>
      </w:r>
      <w:r>
        <w:rPr>
          <w:rFonts w:hint="default" w:ascii="Times New Roman" w:hAnsi="Times New Roman" w:eastAsia="仿宋_GB2312" w:cs="Times New Roman"/>
          <w:spacing w:val="45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4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-1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1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5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主要是</w:t>
      </w:r>
      <w:r>
        <w:rPr>
          <w:rFonts w:hint="default" w:ascii="Times New Roman" w:hAnsi="Times New Roman" w:eastAsia="仿宋_GB2312" w:cs="Times New Roman"/>
          <w:spacing w:val="-10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……。</w:t>
      </w:r>
    </w:p>
    <w:p w14:paraId="1AA0B844">
      <w:pPr>
        <w:pStyle w:val="2"/>
        <w:spacing w:line="285" w:lineRule="auto"/>
        <w:rPr>
          <w:rFonts w:hint="default" w:ascii="Times New Roman" w:hAnsi="Times New Roman" w:eastAsia="仿宋_GB2312" w:cs="Times New Roman"/>
        </w:rPr>
      </w:pPr>
    </w:p>
    <w:p w14:paraId="54DB3B66">
      <w:pPr>
        <w:pStyle w:val="2"/>
        <w:spacing w:line="285" w:lineRule="auto"/>
        <w:rPr>
          <w:rFonts w:hint="default" w:ascii="Times New Roman" w:hAnsi="Times New Roman" w:eastAsia="仿宋_GB2312" w:cs="Times New Roman"/>
        </w:rPr>
      </w:pPr>
    </w:p>
    <w:p w14:paraId="16B81005">
      <w:pPr>
        <w:spacing w:before="101" w:line="224" w:lineRule="auto"/>
        <w:ind w:left="68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四、财政拨款收入支出决算总体情况说明</w:t>
      </w:r>
    </w:p>
    <w:p w14:paraId="4CC21936">
      <w:pPr>
        <w:spacing w:before="248" w:line="362" w:lineRule="auto"/>
        <w:ind w:left="23" w:right="86" w:firstLine="64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年度财政拨款收、支总计均为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万元，与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相比，财政拨款收、支总计各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减少7.85</w:t>
      </w:r>
      <w:r>
        <w:rPr>
          <w:rFonts w:hint="default" w:ascii="Times New Roman" w:hAnsi="Times New Roman" w:eastAsia="仿宋_GB2312" w:cs="Times New Roman"/>
          <w:spacing w:val="-9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下降0.5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。主要原因</w:t>
      </w:r>
      <w:r>
        <w:rPr>
          <w:rFonts w:hint="default" w:ascii="Times New Roman" w:hAnsi="Times New Roman" w:eastAsia="仿宋_GB2312" w:cs="Times New Roman"/>
          <w:spacing w:val="-8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:</w:t>
      </w:r>
      <w:r>
        <w:rPr>
          <w:rFonts w:hint="eastAsia" w:ascii="Times New Roman" w:hAnsi="Times New Roman" w:eastAsia="仿宋_GB2312" w:cs="Times New Roman"/>
          <w:spacing w:val="-68"/>
          <w:sz w:val="31"/>
          <w:szCs w:val="31"/>
          <w:lang w:val="en-US" w:eastAsia="zh-CN"/>
        </w:rPr>
        <w:t>人员减少。</w:t>
      </w:r>
    </w:p>
    <w:p w14:paraId="5227292C">
      <w:pPr>
        <w:pStyle w:val="2"/>
        <w:spacing w:line="285" w:lineRule="auto"/>
        <w:rPr>
          <w:rFonts w:hint="default" w:ascii="Times New Roman" w:hAnsi="Times New Roman" w:eastAsia="仿宋_GB2312" w:cs="Times New Roman"/>
        </w:rPr>
      </w:pPr>
    </w:p>
    <w:p w14:paraId="09DF2BD8">
      <w:pPr>
        <w:pStyle w:val="2"/>
        <w:spacing w:line="286" w:lineRule="auto"/>
        <w:rPr>
          <w:rFonts w:hint="default" w:ascii="Times New Roman" w:hAnsi="Times New Roman" w:eastAsia="仿宋_GB2312" w:cs="Times New Roman"/>
        </w:rPr>
      </w:pPr>
    </w:p>
    <w:p w14:paraId="4757B6F2">
      <w:pPr>
        <w:spacing w:before="101" w:line="224" w:lineRule="auto"/>
        <w:ind w:left="67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五、一般公共预算财政拨款支出决算情况说明</w:t>
      </w:r>
    </w:p>
    <w:p w14:paraId="4D628E36">
      <w:pPr>
        <w:spacing w:before="248" w:line="223" w:lineRule="auto"/>
        <w:ind w:left="662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一</w:t>
      </w:r>
      <w:r>
        <w:rPr>
          <w:rFonts w:hint="default" w:ascii="Times New Roman" w:hAnsi="Times New Roman" w:eastAsia="仿宋_GB2312" w:cs="Times New Roman"/>
          <w:spacing w:val="-6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）一般公共预算财政拨款支出决算总体情况</w:t>
      </w:r>
    </w:p>
    <w:p w14:paraId="337C1FF3">
      <w:pPr>
        <w:spacing w:before="249" w:line="223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年度一般公共预算财政拨款支出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万元，占本年支</w:t>
      </w:r>
    </w:p>
    <w:p w14:paraId="31AE348F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0" w:type="default"/>
          <w:pgSz w:w="11907" w:h="16839"/>
          <w:pgMar w:top="1431" w:right="1714" w:bottom="1153" w:left="1785" w:header="0" w:footer="965" w:gutter="0"/>
          <w:cols w:space="720" w:num="1"/>
        </w:sectPr>
      </w:pPr>
    </w:p>
    <w:p w14:paraId="36BDE817">
      <w:pPr>
        <w:spacing w:before="160" w:line="357" w:lineRule="auto"/>
        <w:ind w:left="68" w:right="9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出合计的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%。与 202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年度相比，一般公共预算财政拨款支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减少7.5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下降0.5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%。主要原因：</w:t>
      </w:r>
      <w:r>
        <w:rPr>
          <w:rFonts w:hint="eastAsia" w:ascii="Times New Roman" w:hAnsi="Times New Roman" w:eastAsia="仿宋_GB2312" w:cs="Times New Roman"/>
          <w:spacing w:val="-68"/>
          <w:sz w:val="31"/>
          <w:szCs w:val="31"/>
          <w:lang w:val="en-US" w:eastAsia="zh-CN"/>
        </w:rPr>
        <w:t>人员减少。</w:t>
      </w:r>
    </w:p>
    <w:p w14:paraId="0A8BB415">
      <w:pPr>
        <w:spacing w:before="51" w:line="223" w:lineRule="auto"/>
        <w:ind w:left="659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（二）</w:t>
      </w:r>
      <w:r>
        <w:rPr>
          <w:rFonts w:hint="default" w:ascii="Times New Roman" w:hAnsi="Times New Roman" w:eastAsia="仿宋_GB2312" w:cs="Times New Roman"/>
          <w:spacing w:val="-8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一般公共预算财政拨款支出决算结构情况</w:t>
      </w:r>
    </w:p>
    <w:p w14:paraId="0AC0CA86">
      <w:pPr>
        <w:spacing w:before="251" w:line="364" w:lineRule="auto"/>
        <w:ind w:left="68" w:right="7" w:firstLine="603"/>
        <w:jc w:val="both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2023</w:t>
      </w:r>
      <w:r>
        <w:rPr>
          <w:rFonts w:hint="default" w:ascii="Times New Roman" w:hAnsi="Times New Roman" w:eastAsia="仿宋_GB2312" w:cs="Times New Roman"/>
          <w:spacing w:val="-5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年度一般公共预算财政拨款支出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万元，主要用于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1"/>
          <w:szCs w:val="31"/>
        </w:rPr>
        <w:t>以下方面：教育支出</w:t>
      </w:r>
      <w:r>
        <w:rPr>
          <w:rFonts w:hint="eastAsia" w:ascii="Times New Roman" w:hAnsi="Times New Roman" w:eastAsia="仿宋_GB2312" w:cs="Times New Roman"/>
          <w:spacing w:val="-6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-6"/>
          <w:sz w:val="31"/>
          <w:szCs w:val="31"/>
        </w:rPr>
        <w:t>万元，占</w:t>
      </w:r>
      <w:r>
        <w:rPr>
          <w:rFonts w:hint="eastAsia" w:ascii="Times New Roman" w:hAnsi="Times New Roman" w:eastAsia="仿宋_GB2312" w:cs="Times New Roman"/>
          <w:spacing w:val="-6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6"/>
          <w:sz w:val="31"/>
          <w:szCs w:val="31"/>
        </w:rPr>
        <w:t>%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eastAsia="zh-CN"/>
        </w:rPr>
        <w:t>。</w:t>
      </w:r>
    </w:p>
    <w:p w14:paraId="468A32CD">
      <w:pPr>
        <w:spacing w:before="49" w:line="356" w:lineRule="auto"/>
        <w:ind w:left="29" w:right="91" w:firstLine="64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FF0000"/>
          <w:spacing w:val="4"/>
          <w:sz w:val="31"/>
          <w:szCs w:val="31"/>
        </w:rPr>
        <w:t>。</w:t>
      </w:r>
    </w:p>
    <w:p w14:paraId="22E21590">
      <w:pPr>
        <w:spacing w:before="52" w:line="223" w:lineRule="auto"/>
        <w:ind w:left="659"/>
        <w:outlineLvl w:val="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（三）</w:t>
      </w:r>
      <w:r>
        <w:rPr>
          <w:rFonts w:hint="default" w:ascii="Times New Roman" w:hAnsi="Times New Roman" w:eastAsia="仿宋_GB2312" w:cs="Times New Roman"/>
          <w:spacing w:val="-8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一般公共预算财政拨款支出决算具体情况</w:t>
      </w:r>
    </w:p>
    <w:p w14:paraId="38B874C6">
      <w:pPr>
        <w:spacing w:before="248" w:line="357" w:lineRule="auto"/>
        <w:ind w:left="38" w:right="86" w:firstLine="63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12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年度一般公共预算财政拨款支出年初预算为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万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元，支出决算为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%。其中：</w:t>
      </w:r>
    </w:p>
    <w:p w14:paraId="7D3A3654">
      <w:pPr>
        <w:numPr>
          <w:ilvl w:val="0"/>
          <w:numId w:val="1"/>
        </w:numPr>
        <w:spacing w:before="52" w:line="322" w:lineRule="auto"/>
        <w:ind w:left="34" w:right="98" w:firstLine="636"/>
        <w:rPr>
          <w:rFonts w:hint="default" w:ascii="Times New Roman" w:hAnsi="Times New Roman" w:eastAsia="仿宋_GB2312" w:cs="Times New Roman"/>
          <w:spacing w:val="-12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教育支出（类）普通教育（款）初中教育（项）。年初预算为</w:t>
      </w:r>
      <w:r>
        <w:rPr>
          <w:rFonts w:hint="eastAsia" w:ascii="Times New Roman" w:hAnsi="Times New Roman" w:eastAsia="仿宋_GB2312" w:cs="Times New Roman"/>
          <w:spacing w:val="-12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万元，支出决算为</w:t>
      </w:r>
      <w:r>
        <w:rPr>
          <w:rFonts w:hint="eastAsia" w:ascii="Times New Roman" w:hAnsi="Times New Roman" w:eastAsia="仿宋_GB2312" w:cs="Times New Roman"/>
          <w:spacing w:val="-12"/>
          <w:sz w:val="31"/>
          <w:szCs w:val="31"/>
          <w:lang w:val="en-US" w:eastAsia="zh-CN"/>
        </w:rPr>
        <w:t>1339.68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万元，完成年初预算的</w:t>
      </w:r>
      <w:r>
        <w:rPr>
          <w:rFonts w:hint="eastAsia" w:ascii="Times New Roman" w:hAnsi="Times New Roman" w:eastAsia="仿宋_GB2312" w:cs="Times New Roman"/>
          <w:spacing w:val="-12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%。</w:t>
      </w:r>
    </w:p>
    <w:p w14:paraId="7D3DF1D6">
      <w:pPr>
        <w:pStyle w:val="2"/>
        <w:spacing w:line="255" w:lineRule="auto"/>
        <w:rPr>
          <w:rFonts w:hint="default" w:ascii="Times New Roman" w:hAnsi="Times New Roman" w:eastAsia="仿宋_GB2312" w:cs="Times New Roman"/>
        </w:rPr>
      </w:pPr>
    </w:p>
    <w:p w14:paraId="238A0997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6C71337F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77348CF8">
      <w:pPr>
        <w:spacing w:before="101" w:line="224" w:lineRule="auto"/>
        <w:ind w:left="67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六、一般公共预算财政拨款基本支出决算情况说明</w:t>
      </w:r>
    </w:p>
    <w:p w14:paraId="30DE61E4">
      <w:pPr>
        <w:spacing w:before="247" w:line="357" w:lineRule="auto"/>
        <w:ind w:left="64" w:right="96" w:firstLine="607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12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33"/>
          <w:sz w:val="31"/>
          <w:szCs w:val="31"/>
          <w:lang w:val="en-US" w:eastAsia="zh-CN"/>
        </w:rPr>
        <w:t>842.28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万元，其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0"/>
          <w:sz w:val="31"/>
          <w:szCs w:val="31"/>
        </w:rPr>
        <w:t>中：</w:t>
      </w:r>
    </w:p>
    <w:p w14:paraId="778104BB">
      <w:pPr>
        <w:spacing w:before="53" w:line="367" w:lineRule="auto"/>
        <w:ind w:left="29" w:right="98" w:firstLine="643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人员经费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841.88</w:t>
      </w: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，主要包括：基本工资、津贴补贴、奖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金、伙食补助费、绩效工资、机关事业单位基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本养老保险缴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费、职工基本医疗保险缴费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、公务员医疗补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助缴费、其他社会保障缴费、住房公积金、医疗费、对个人和家庭的补助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退休费、抚恤金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医疗费补助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。</w:t>
      </w:r>
    </w:p>
    <w:p w14:paraId="3B7C22BF">
      <w:pPr>
        <w:spacing w:before="254" w:line="367" w:lineRule="auto"/>
        <w:ind w:left="26" w:firstLine="641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公用经费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b/>
          <w:bCs/>
          <w:spacing w:val="-1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，主要包括：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工会经费</w:t>
      </w:r>
      <w:r>
        <w:rPr>
          <w:rFonts w:hint="eastAsia" w:ascii="Times New Roman" w:hAnsi="Times New Roman" w:eastAsia="仿宋_GB2312" w:cs="Times New Roman"/>
          <w:spacing w:val="9"/>
          <w:sz w:val="31"/>
          <w:szCs w:val="31"/>
          <w:lang w:eastAsia="zh-CN"/>
        </w:rPr>
        <w:t>、其他商品和服务支出。</w:t>
      </w:r>
    </w:p>
    <w:p w14:paraId="735B453F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3E5D8466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701ACFC2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03B5BDDB">
      <w:pPr>
        <w:spacing w:before="101" w:line="224" w:lineRule="auto"/>
        <w:ind w:left="50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七、政府性基金预算财政拨款收入支出决算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情况说明</w:t>
      </w:r>
    </w:p>
    <w:p w14:paraId="157ECBD3">
      <w:pPr>
        <w:spacing w:before="246" w:line="366" w:lineRule="auto"/>
        <w:ind w:left="38" w:firstLine="47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33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33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33"/>
          <w:sz w:val="31"/>
          <w:szCs w:val="31"/>
        </w:rPr>
        <w:t xml:space="preserve"> 年度政府性基金预算财政拨款年初结转和结余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万元；本年收入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，增长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%，主要是</w:t>
      </w:r>
      <w:r>
        <w:rPr>
          <w:rFonts w:hint="eastAsia" w:ascii="Times New Roman" w:hAnsi="Times New Roman" w:eastAsia="仿宋_GB2312" w:cs="Times New Roman"/>
          <w:spacing w:val="-94"/>
          <w:sz w:val="31"/>
          <w:szCs w:val="31"/>
          <w:lang w:val="en-US" w:eastAsia="zh-CN"/>
        </w:rPr>
        <w:t>.......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；本年支出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比上年增加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%，主要是</w:t>
      </w:r>
      <w:r>
        <w:rPr>
          <w:rFonts w:hint="eastAsia" w:ascii="Times New Roman" w:hAnsi="Times New Roman" w:eastAsia="仿宋_GB2312" w:cs="Times New Roman"/>
          <w:spacing w:val="-98"/>
          <w:sz w:val="31"/>
          <w:szCs w:val="31"/>
          <w:lang w:val="en-US" w:eastAsia="zh-CN"/>
        </w:rPr>
        <w:t>...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；年末结转和结余</w:t>
      </w:r>
      <w:r>
        <w:rPr>
          <w:rFonts w:hint="eastAsia" w:ascii="Times New Roman" w:hAnsi="Times New Roman" w:eastAsia="仿宋_GB2312" w:cs="Times New Roman"/>
          <w:spacing w:val="4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元。</w:t>
      </w:r>
    </w:p>
    <w:p w14:paraId="75320CA7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1" w:type="default"/>
          <w:pgSz w:w="11907" w:h="16839"/>
          <w:pgMar w:top="1431" w:right="1641" w:bottom="1153" w:left="1785" w:header="0" w:footer="965" w:gutter="0"/>
          <w:cols w:space="720" w:num="1"/>
        </w:sectPr>
      </w:pPr>
    </w:p>
    <w:p w14:paraId="00E9C663">
      <w:pPr>
        <w:spacing w:before="158" w:line="224" w:lineRule="auto"/>
        <w:ind w:left="74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八、国有资本经营预算财政拨款支出决算情况说明</w:t>
      </w:r>
    </w:p>
    <w:p w14:paraId="13E059A6">
      <w:pPr>
        <w:spacing w:before="248" w:line="220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 xml:space="preserve"> 年度国有资本经营预算年初结转和结余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万元；</w:t>
      </w:r>
    </w:p>
    <w:p w14:paraId="19E90B4B">
      <w:pPr>
        <w:spacing w:before="255" w:line="364" w:lineRule="auto"/>
        <w:ind w:left="23" w:firstLine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本年收入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万元，比上年增加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主要是</w:t>
      </w:r>
      <w:r>
        <w:rPr>
          <w:rFonts w:hint="default" w:ascii="Times New Roman" w:hAnsi="Times New Roman" w:eastAsia="仿宋_GB2312" w:cs="Times New Roman"/>
          <w:spacing w:val="-9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……</w:t>
      </w:r>
      <w:r>
        <w:rPr>
          <w:rFonts w:hint="default" w:ascii="Times New Roman" w:hAnsi="Times New Roman" w:eastAsia="仿宋_GB2312" w:cs="Times New Roman"/>
          <w:spacing w:val="-1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；本年支出</w:t>
      </w:r>
      <w:r>
        <w:rPr>
          <w:rFonts w:hint="eastAsia" w:ascii="Times New Roman" w:hAnsi="Times New Roman" w:eastAsia="仿宋_GB2312" w:cs="Times New Roman"/>
          <w:spacing w:val="49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比上年增加</w:t>
      </w:r>
      <w:r>
        <w:rPr>
          <w:rFonts w:hint="eastAsia" w:ascii="Times New Roman" w:hAnsi="Times New Roman" w:eastAsia="仿宋_GB2312" w:cs="Times New Roman"/>
          <w:spacing w:val="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9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%，主要是</w:t>
      </w:r>
      <w:r>
        <w:rPr>
          <w:rFonts w:hint="default" w:ascii="Times New Roman" w:hAnsi="Times New Roman" w:eastAsia="仿宋_GB2312" w:cs="Times New Roman"/>
          <w:spacing w:val="-9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……</w:t>
      </w:r>
      <w:r>
        <w:rPr>
          <w:rFonts w:hint="default" w:ascii="Times New Roman" w:hAnsi="Times New Roman" w:eastAsia="仿宋_GB2312" w:cs="Times New Roman"/>
          <w:spacing w:val="-1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；年末结转和结余</w:t>
      </w:r>
      <w:r>
        <w:rPr>
          <w:rFonts w:hint="eastAsia" w:ascii="Times New Roman" w:hAnsi="Times New Roman" w:eastAsia="仿宋_GB2312" w:cs="Times New Roman"/>
          <w:spacing w:val="4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</w:t>
      </w:r>
    </w:p>
    <w:p w14:paraId="7B442AF2">
      <w:pPr>
        <w:pStyle w:val="2"/>
        <w:spacing w:line="255" w:lineRule="auto"/>
        <w:rPr>
          <w:rFonts w:hint="default" w:ascii="Times New Roman" w:hAnsi="Times New Roman" w:eastAsia="仿宋_GB2312" w:cs="Times New Roman"/>
        </w:rPr>
      </w:pPr>
    </w:p>
    <w:p w14:paraId="2E9B1DF9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41B40807">
      <w:pPr>
        <w:pStyle w:val="2"/>
        <w:spacing w:line="256" w:lineRule="auto"/>
        <w:rPr>
          <w:rFonts w:hint="default" w:ascii="Times New Roman" w:hAnsi="Times New Roman" w:eastAsia="仿宋_GB2312" w:cs="Times New Roman"/>
        </w:rPr>
      </w:pPr>
    </w:p>
    <w:p w14:paraId="4F2B65B5">
      <w:pPr>
        <w:spacing w:before="101" w:line="224" w:lineRule="auto"/>
        <w:ind w:left="67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九、财政拨款“三公”经费支出决算情况说明</w:t>
      </w:r>
    </w:p>
    <w:p w14:paraId="0237842A">
      <w:pPr>
        <w:spacing w:before="249" w:line="223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6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一）“三公”经费财政拨款支出决算总体情况说明</w:t>
      </w:r>
    </w:p>
    <w:p w14:paraId="1DE0F019">
      <w:pPr>
        <w:spacing w:before="249" w:line="223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年度“三公”经费财政拨款支出预算为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万元，支</w:t>
      </w:r>
    </w:p>
    <w:p w14:paraId="4588DA64">
      <w:pPr>
        <w:spacing w:line="223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2" w:type="default"/>
          <w:pgSz w:w="11907" w:h="16839"/>
          <w:pgMar w:top="1431" w:right="1714" w:bottom="1153" w:left="1785" w:header="0" w:footer="965" w:gutter="0"/>
          <w:cols w:space="720" w:num="1"/>
        </w:sectPr>
      </w:pPr>
    </w:p>
    <w:p w14:paraId="7F4DB813">
      <w:pPr>
        <w:spacing w:before="156" w:line="362" w:lineRule="auto"/>
        <w:ind w:left="41" w:firstLine="26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出决算为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%；较</w:t>
      </w:r>
      <w:r>
        <w:rPr>
          <w:rFonts w:hint="default" w:ascii="Times New Roman" w:hAnsi="Times New Roman" w:eastAsia="仿宋_GB2312" w:cs="Times New Roman"/>
          <w:spacing w:val="-2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年度增加</w:t>
      </w:r>
      <w:r>
        <w:rPr>
          <w:rFonts w:hint="eastAsia" w:ascii="Times New Roman" w:hAnsi="Times New Roman" w:eastAsia="仿宋_GB2312" w:cs="Times New Roman"/>
          <w:spacing w:val="-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%，主要原因是</w:t>
      </w:r>
      <w:r>
        <w:rPr>
          <w:rFonts w:hint="default" w:ascii="Times New Roman" w:hAnsi="Times New Roman" w:eastAsia="仿宋_GB2312" w:cs="Times New Roman"/>
          <w:spacing w:val="-9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…。</w:t>
      </w:r>
    </w:p>
    <w:p w14:paraId="6BF4C413">
      <w:pPr>
        <w:spacing w:before="50" w:line="223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（二）“三公”经费财政拨款支出决算具体情况说明</w:t>
      </w:r>
    </w:p>
    <w:p w14:paraId="3BE4AA74">
      <w:pPr>
        <w:spacing w:before="248" w:line="366" w:lineRule="auto"/>
        <w:ind w:left="23" w:right="74" w:firstLine="66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1.因公出国（境）费预算为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万元,支出决算为</w:t>
      </w:r>
      <w:r>
        <w:rPr>
          <w:rFonts w:hint="eastAsia" w:ascii="Times New Roman" w:hAnsi="Times New Roman" w:eastAsia="仿宋_GB2312" w:cs="Times New Roman"/>
          <w:spacing w:val="2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完成预算的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%；支出决算较</w:t>
      </w:r>
      <w:r>
        <w:rPr>
          <w:rFonts w:hint="default" w:ascii="Times New Roman" w:hAnsi="Times New Roman" w:eastAsia="仿宋_GB2312" w:cs="Times New Roman"/>
          <w:spacing w:val="-5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年度增加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3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万元，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%，主要原因……。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全年共有因公出国（境）</w:t>
      </w:r>
      <w:r>
        <w:rPr>
          <w:rFonts w:hint="default" w:ascii="Times New Roman" w:hAnsi="Times New Roman" w:eastAsia="仿宋_GB2312" w:cs="Times New Roman"/>
          <w:spacing w:val="-8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团组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个，</w:t>
      </w:r>
      <w:r>
        <w:rPr>
          <w:rFonts w:hint="default" w:ascii="Times New Roman" w:hAnsi="Times New Roman" w:eastAsia="仿宋_GB2312" w:cs="Times New Roman"/>
          <w:spacing w:val="-9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因公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出国（境）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人次。主要包括</w:t>
      </w:r>
      <w:r>
        <w:rPr>
          <w:rFonts w:hint="default" w:ascii="Times New Roman" w:hAnsi="Times New Roman" w:eastAsia="仿宋_GB2312" w:cs="Times New Roman"/>
          <w:spacing w:val="-10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…。</w:t>
      </w:r>
    </w:p>
    <w:p w14:paraId="2D4111B2">
      <w:pPr>
        <w:spacing w:before="252" w:line="355" w:lineRule="auto"/>
        <w:ind w:left="41" w:right="157" w:firstLine="63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2.公务用车购置及运行费预算为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万元</w:t>
      </w:r>
      <w:r>
        <w:rPr>
          <w:rFonts w:hint="default" w:ascii="Times New Roman" w:hAnsi="Times New Roman" w:eastAsia="仿宋_GB2312" w:cs="Times New Roman"/>
          <w:spacing w:val="20"/>
          <w:sz w:val="31"/>
          <w:szCs w:val="31"/>
        </w:rPr>
        <w:t>，支出决算为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%；较</w:t>
      </w:r>
      <w:r>
        <w:rPr>
          <w:rFonts w:hint="default" w:ascii="Times New Roman" w:hAnsi="Times New Roman" w:eastAsia="仿宋_GB2312" w:cs="Times New Roman"/>
          <w:spacing w:val="-5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年度增加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增长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%，主要原因……。</w:t>
      </w:r>
    </w:p>
    <w:p w14:paraId="4E73F523">
      <w:pPr>
        <w:spacing w:before="54" w:line="221" w:lineRule="auto"/>
        <w:ind w:left="66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公务用车运行维护费支出</w:t>
      </w:r>
      <w:r>
        <w:rPr>
          <w:rFonts w:hint="eastAsia" w:ascii="Times New Roman" w:hAnsi="Times New Roman" w:eastAsia="仿宋_GB2312" w:cs="Times New Roman"/>
          <w:spacing w:val="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万元，主要是</w:t>
      </w:r>
      <w:r>
        <w:rPr>
          <w:rFonts w:hint="default" w:ascii="Times New Roman" w:hAnsi="Times New Roman" w:eastAsia="仿宋_GB2312" w:cs="Times New Roman"/>
          <w:spacing w:val="-8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…。</w:t>
      </w:r>
    </w:p>
    <w:p w14:paraId="245E1A68">
      <w:pPr>
        <w:spacing w:line="221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3" w:type="default"/>
          <w:pgSz w:w="11907" w:h="16839"/>
          <w:pgMar w:top="1431" w:right="1642" w:bottom="1153" w:left="1785" w:header="0" w:footer="965" w:gutter="0"/>
          <w:cols w:space="720" w:num="1"/>
        </w:sectPr>
      </w:pPr>
    </w:p>
    <w:p w14:paraId="2B53D845">
      <w:pPr>
        <w:spacing w:before="160" w:line="364" w:lineRule="auto"/>
        <w:ind w:left="21" w:right="3" w:firstLine="644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公务接待费预算为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万元，支出决算为</w:t>
      </w:r>
      <w:r>
        <w:rPr>
          <w:rFonts w:hint="eastAsia" w:ascii="Times New Roman" w:hAnsi="Times New Roman" w:eastAsia="仿宋_GB2312" w:cs="Times New Roman"/>
          <w:spacing w:val="2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万元，完成预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算的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%；较</w:t>
      </w:r>
      <w:r>
        <w:rPr>
          <w:rFonts w:hint="default" w:ascii="Times New Roman" w:hAnsi="Times New Roman" w:eastAsia="仿宋_GB2312" w:cs="Times New Roman"/>
          <w:spacing w:val="-5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5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年度增加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1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7"/>
          <w:sz w:val="31"/>
          <w:szCs w:val="31"/>
        </w:rPr>
        <w:t>%，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主要原因是</w:t>
      </w:r>
      <w:r>
        <w:rPr>
          <w:rFonts w:hint="default" w:ascii="Times New Roman" w:hAnsi="Times New Roman" w:eastAsia="仿宋_GB2312" w:cs="Times New Roman"/>
          <w:spacing w:val="-6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7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5"/>
          <w:sz w:val="31"/>
          <w:szCs w:val="31"/>
        </w:rPr>
        <w:t>…。</w:t>
      </w:r>
    </w:p>
    <w:p w14:paraId="1C7BF674">
      <w:pPr>
        <w:spacing w:before="52" w:line="361" w:lineRule="auto"/>
        <w:ind w:left="33" w:firstLine="649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外事接待费支出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万元。主要用于……。全年共接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待外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事来访团组数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个、来访外宾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人次（不包括陪同人员）。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来访外宾主要包括</w:t>
      </w:r>
      <w:r>
        <w:rPr>
          <w:rFonts w:hint="default" w:ascii="Times New Roman" w:hAnsi="Times New Roman" w:eastAsia="仿宋_GB2312" w:cs="Times New Roman"/>
          <w:spacing w:val="-9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…。</w:t>
      </w:r>
    </w:p>
    <w:p w14:paraId="410B9AAC">
      <w:pPr>
        <w:spacing w:before="53" w:line="362" w:lineRule="auto"/>
        <w:ind w:left="26" w:right="90" w:firstLine="640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其他国内公务接待支出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万元。主要用于……。全年共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接待国内来访团组</w:t>
      </w:r>
      <w:r>
        <w:rPr>
          <w:rFonts w:hint="eastAsia" w:ascii="Times New Roman" w:hAnsi="Times New Roman" w:eastAsia="仿宋_GB2312" w:cs="Times New Roman"/>
          <w:spacing w:val="3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个、来宾</w:t>
      </w:r>
      <w:r>
        <w:rPr>
          <w:rFonts w:hint="eastAsia" w:ascii="Times New Roman" w:hAnsi="Times New Roman" w:eastAsia="仿宋_GB2312" w:cs="Times New Roman"/>
          <w:spacing w:val="3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2"/>
          <w:sz w:val="31"/>
          <w:szCs w:val="31"/>
        </w:rPr>
        <w:t>人次（不包括陪同人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员） 。</w:t>
      </w:r>
    </w:p>
    <w:p w14:paraId="6A40CFBD">
      <w:pPr>
        <w:pStyle w:val="2"/>
        <w:spacing w:line="287" w:lineRule="auto"/>
        <w:rPr>
          <w:rFonts w:hint="default" w:ascii="Times New Roman" w:hAnsi="Times New Roman" w:eastAsia="仿宋_GB2312" w:cs="Times New Roman"/>
        </w:rPr>
      </w:pPr>
    </w:p>
    <w:p w14:paraId="00E8BA7F">
      <w:pPr>
        <w:pStyle w:val="2"/>
        <w:spacing w:line="287" w:lineRule="auto"/>
        <w:rPr>
          <w:rFonts w:hint="default" w:ascii="Times New Roman" w:hAnsi="Times New Roman" w:eastAsia="仿宋_GB2312" w:cs="Times New Roman"/>
        </w:rPr>
      </w:pPr>
    </w:p>
    <w:p w14:paraId="18B121AC">
      <w:pPr>
        <w:spacing w:before="101" w:line="224" w:lineRule="auto"/>
        <w:ind w:left="750"/>
        <w:outlineLvl w:val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十、关于</w:t>
      </w:r>
      <w:r>
        <w:rPr>
          <w:rFonts w:hint="default" w:ascii="Times New Roman" w:hAnsi="Times New Roman" w:eastAsia="仿宋_GB2312" w:cs="Times New Roman"/>
          <w:spacing w:val="-5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6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年度绩效评价情况说明</w:t>
      </w:r>
    </w:p>
    <w:p w14:paraId="7CF83847">
      <w:pPr>
        <w:spacing w:before="159" w:line="223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5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一）绩效评价工作开展情况。绩效评价工作开展情况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说明为：根据预算绩效管理要求，本部门组织对 2023 年度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一般公共预算项目支出全面开展绩效自评，其中，一级项目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个，二级项目 </w:t>
      </w:r>
      <w:r>
        <w:rPr>
          <w:rFonts w:hint="eastAsia" w:ascii="Times New Roman" w:hAnsi="Times New Roman" w:eastAsia="仿宋_GB2312" w:cs="Times New Roman"/>
          <w:spacing w:val="1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个，共涉及资金</w:t>
      </w:r>
      <w:r>
        <w:rPr>
          <w:rFonts w:hint="default" w:ascii="Times New Roman" w:hAnsi="Times New Roman" w:eastAsia="仿宋_GB2312" w:cs="Times New Roman"/>
          <w:spacing w:val="-22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7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>占一般公共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预算项目支出总额的</w:t>
      </w:r>
      <w:r>
        <w:rPr>
          <w:rFonts w:hint="eastAsia" w:ascii="Times New Roman" w:hAnsi="Times New Roman" w:eastAsia="仿宋_GB2312" w:cs="Times New Roman"/>
          <w:spacing w:val="-60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%。</w:t>
      </w:r>
    </w:p>
    <w:p w14:paraId="52A0D2EC">
      <w:pPr>
        <w:spacing w:before="253" w:line="356" w:lineRule="auto"/>
        <w:ind w:left="36" w:right="22" w:firstLine="62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（二）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项目绩效自评结果（如有）。除涉密敏感内容外，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省级部门原则上应予以公开。按照如下格式说明</w:t>
      </w:r>
      <w:r>
        <w:rPr>
          <w:rFonts w:hint="default" w:ascii="Times New Roman" w:hAnsi="Times New Roman" w:eastAsia="仿宋_GB2312" w:cs="Times New Roman"/>
          <w:spacing w:val="-8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:</w:t>
      </w:r>
    </w:p>
    <w:p w14:paraId="7E6A8EBD">
      <w:pPr>
        <w:spacing w:before="49" w:line="224" w:lineRule="auto"/>
        <w:ind w:firstLine="930" w:firstLineChars="30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生均经费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项目绩效自评情况：根据年初设定的绩效目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标，项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目绩效自评得分为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分。项目全年预算数为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万元，执行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数为</w:t>
      </w:r>
      <w:r>
        <w:rPr>
          <w:rFonts w:hint="eastAsia" w:ascii="Times New Roman" w:hAnsi="Times New Roman" w:eastAsia="仿宋_GB2312" w:cs="Times New Roman"/>
          <w:spacing w:val="-6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万元，完成预算的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%。</w:t>
      </w:r>
    </w:p>
    <w:p w14:paraId="7713011F">
      <w:pPr>
        <w:spacing w:before="250" w:line="364" w:lineRule="auto"/>
        <w:ind w:left="34" w:firstLine="625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（三）</w:t>
      </w:r>
      <w:r>
        <w:rPr>
          <w:rFonts w:hint="default" w:ascii="Times New Roman" w:hAnsi="Times New Roman" w:eastAsia="仿宋_GB2312" w:cs="Times New Roman"/>
          <w:spacing w:val="-3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部门评价结果（如有）。除涉密敏感内容外，省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级部门原则上应将部门评价结果以报告的形式予以公开。报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  <w:sz w:val="31"/>
          <w:szCs w:val="31"/>
        </w:rPr>
        <w:t>告框架可参考《项目支出绩效评价管理办法》（吉财绩〔2022〕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711</w:t>
      </w:r>
      <w:r>
        <w:rPr>
          <w:rFonts w:hint="default" w:ascii="Times New Roman" w:hAnsi="Times New Roman" w:eastAsia="仿宋_GB2312" w:cs="Times New Roman"/>
          <w:spacing w:val="-3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号）中的《项目支出绩效评价报告（参考提纲）》。</w:t>
      </w:r>
    </w:p>
    <w:p w14:paraId="79822BF9">
      <w:pPr>
        <w:spacing w:line="364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4" w:type="default"/>
          <w:pgSz w:w="11907" w:h="16839"/>
          <w:pgMar w:top="1431" w:right="1694" w:bottom="1153" w:left="1785" w:header="0" w:footer="965" w:gutter="0"/>
          <w:cols w:space="720" w:num="1"/>
        </w:sectPr>
      </w:pPr>
    </w:p>
    <w:p w14:paraId="3F25BF11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CE80C03">
      <w:pPr>
        <w:pStyle w:val="2"/>
        <w:spacing w:line="339" w:lineRule="auto"/>
        <w:rPr>
          <w:rFonts w:hint="default" w:ascii="Times New Roman" w:hAnsi="Times New Roman" w:eastAsia="仿宋_GB2312" w:cs="Times New Roman"/>
        </w:rPr>
      </w:pPr>
    </w:p>
    <w:p w14:paraId="3BB5AA89">
      <w:pPr>
        <w:spacing w:before="100" w:line="224" w:lineRule="auto"/>
        <w:ind w:left="67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十一、其他重要事项情况说明</w:t>
      </w:r>
    </w:p>
    <w:p w14:paraId="60F8FEBE">
      <w:pPr>
        <w:spacing w:before="248" w:line="222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（</w:t>
      </w:r>
      <w:r>
        <w:rPr>
          <w:rFonts w:hint="default" w:ascii="Times New Roman" w:hAnsi="Times New Roman" w:eastAsia="仿宋_GB2312" w:cs="Times New Roman"/>
          <w:spacing w:val="-7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一）机关运行经费执行情况说明</w:t>
      </w:r>
    </w:p>
    <w:p w14:paraId="00858EAC">
      <w:pPr>
        <w:spacing w:before="251" w:line="357" w:lineRule="auto"/>
        <w:ind w:left="19" w:right="170" w:firstLine="65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年度机关运行经费支出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万元，较202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年度增加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万元，增长</w:t>
      </w:r>
      <w:r>
        <w:rPr>
          <w:rFonts w:hint="eastAsia" w:ascii="Times New Roman" w:hAnsi="Times New Roman" w:eastAsia="仿宋_GB2312" w:cs="Times New Roman"/>
          <w:spacing w:val="-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%，主要是</w:t>
      </w:r>
      <w:r>
        <w:rPr>
          <w:rFonts w:hint="default" w:ascii="Times New Roman" w:hAnsi="Times New Roman" w:eastAsia="仿宋_GB2312" w:cs="Times New Roman"/>
          <w:spacing w:val="-10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1"/>
          <w:szCs w:val="31"/>
        </w:rPr>
        <w:t>…。</w:t>
      </w:r>
    </w:p>
    <w:p w14:paraId="107DFD41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（二）政府采购支出情况说明</w:t>
      </w:r>
    </w:p>
    <w:p w14:paraId="46DBDA30">
      <w:pPr>
        <w:spacing w:before="249" w:line="368" w:lineRule="auto"/>
        <w:ind w:left="29" w:right="24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 年度政府采购支出总额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其中：政府采购货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物支出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万元、政府采购工程支出</w:t>
      </w:r>
      <w:r>
        <w:rPr>
          <w:rFonts w:hint="eastAsia" w:ascii="Times New Roman" w:hAnsi="Times New Roman" w:eastAsia="仿宋_GB2312" w:cs="Times New Roman"/>
          <w:spacing w:val="23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万元、政府采购服务支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出</w:t>
      </w:r>
      <w:r>
        <w:rPr>
          <w:rFonts w:hint="eastAsia" w:ascii="Times New Roman" w:hAnsi="Times New Roman" w:eastAsia="仿宋_GB2312" w:cs="Times New Roman"/>
          <w:spacing w:val="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万元。授予中小企业合同金额</w:t>
      </w:r>
      <w:r>
        <w:rPr>
          <w:rFonts w:hint="eastAsia" w:ascii="Times New Roman" w:hAnsi="Times New Roman" w:eastAsia="仿宋_GB2312" w:cs="Times New Roman"/>
          <w:spacing w:val="2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8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占政府采购支出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总额的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%，其中：授予小微企业合同金额</w:t>
      </w:r>
      <w:r>
        <w:rPr>
          <w:rFonts w:hint="eastAsia" w:ascii="Times New Roman" w:hAnsi="Times New Roman" w:eastAsia="仿宋_GB2312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万元，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占授予中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小企业合同金额的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%；货物采购授予中小企业合同金额占货</w:t>
      </w:r>
      <w:r>
        <w:rPr>
          <w:rFonts w:hint="default" w:ascii="Times New Roman" w:hAnsi="Times New Roman" w:eastAsia="仿宋_GB2312" w:cs="Times New Roman"/>
          <w:spacing w:val="1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物支出金额的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%，工程采购授予中小企业合同金额占工程支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 xml:space="preserve">出金额的 </w:t>
      </w:r>
      <w:r>
        <w:rPr>
          <w:rFonts w:hint="eastAsia" w:ascii="Times New Roman" w:hAnsi="Times New Roman" w:eastAsia="仿宋_GB2312" w:cs="Times New Roman"/>
          <w:spacing w:val="8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%，服务采购授予中小企业合同金额占服务支出金</w:t>
      </w:r>
      <w:r>
        <w:rPr>
          <w:rFonts w:hint="default" w:ascii="Times New Roman" w:hAnsi="Times New Roman" w:eastAsia="仿宋_GB2312" w:cs="Times New Roman"/>
          <w:spacing w:val="1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额的 </w:t>
      </w:r>
      <w:r>
        <w:rPr>
          <w:rFonts w:hint="eastAsia" w:ascii="Times New Roman" w:hAnsi="Times New Roman" w:eastAsia="仿宋_GB2312" w:cs="Times New Roman"/>
          <w:spacing w:val="2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%。</w:t>
      </w:r>
    </w:p>
    <w:p w14:paraId="38048493">
      <w:pPr>
        <w:spacing w:before="48" w:line="224" w:lineRule="auto"/>
        <w:ind w:left="65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（三）国有资产占用情况说明</w:t>
      </w:r>
    </w:p>
    <w:p w14:paraId="0B6732D0">
      <w:pPr>
        <w:spacing w:before="286" w:line="340" w:lineRule="auto"/>
        <w:ind w:left="21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截至</w:t>
      </w:r>
      <w:r>
        <w:rPr>
          <w:rFonts w:hint="default" w:ascii="Times New Roman" w:hAnsi="Times New Roman" w:eastAsia="仿宋_GB2312" w:cs="Times New Roman"/>
          <w:spacing w:val="-3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1"/>
          <w:szCs w:val="31"/>
        </w:rPr>
        <w:t>年 12 月</w:t>
      </w:r>
      <w:r>
        <w:rPr>
          <w:rFonts w:hint="default" w:ascii="Times New Roman" w:hAnsi="Times New Roman" w:eastAsia="仿宋_GB2312" w:cs="Times New Roman"/>
          <w:spacing w:val="-3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31 日，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共有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车辆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辆，其中，副部（省）级及以上领导用车</w:t>
      </w:r>
      <w:r>
        <w:rPr>
          <w:rFonts w:hint="eastAsia" w:ascii="Times New Roman" w:hAnsi="Times New Roman" w:eastAsia="仿宋_GB2312" w:cs="Times New Roman"/>
          <w:spacing w:val="7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辆、主</w:t>
      </w:r>
      <w:r>
        <w:rPr>
          <w:rFonts w:hint="default" w:ascii="Times New Roman" w:hAnsi="Times New Roman" w:eastAsia="仿宋_GB2312" w:cs="Times New Roman"/>
          <w:spacing w:val="1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要负责人用车</w:t>
      </w:r>
      <w:r>
        <w:rPr>
          <w:rFonts w:hint="eastAsia" w:ascii="Times New Roman" w:hAnsi="Times New Roman" w:eastAsia="仿宋_GB2312" w:cs="Times New Roman"/>
          <w:spacing w:val="-56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辆、机要通信用车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辆、应急保障用车</w:t>
      </w:r>
      <w:r>
        <w:rPr>
          <w:rFonts w:hint="eastAsia" w:ascii="Times New Roman" w:hAnsi="Times New Roman" w:eastAsia="仿宋_GB2312" w:cs="Times New Roman"/>
          <w:spacing w:val="-6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辆、执法执勤用车</w:t>
      </w:r>
      <w:r>
        <w:rPr>
          <w:rFonts w:hint="eastAsia" w:ascii="Times New Roman" w:hAnsi="Times New Roman" w:eastAsia="仿宋_GB2312" w:cs="Times New Roman"/>
          <w:spacing w:val="-64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辆、特种专业技术用车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>辆</w:t>
      </w:r>
      <w:r>
        <w:rPr>
          <w:rFonts w:hint="default" w:ascii="Times New Roman" w:hAnsi="Times New Roman" w:eastAsia="仿宋_GB2312" w:cs="Times New Roman"/>
          <w:spacing w:val="11"/>
          <w:sz w:val="31"/>
          <w:szCs w:val="31"/>
        </w:rPr>
        <w:t>、离退休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干部用车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辆、其他用车</w:t>
      </w:r>
      <w:r>
        <w:rPr>
          <w:rFonts w:hint="default" w:ascii="Times New Roman" w:hAnsi="Times New Roman" w:eastAsia="仿宋_GB2312" w:cs="Times New Roman"/>
          <w:spacing w:val="-67"/>
          <w:sz w:val="31"/>
          <w:szCs w:val="31"/>
        </w:rPr>
        <w:t xml:space="preserve"> 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6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辆，其他用车主要是……；单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位价值</w:t>
      </w:r>
      <w:r>
        <w:rPr>
          <w:rFonts w:hint="default" w:ascii="Times New Roman" w:hAnsi="Times New Roman" w:eastAsia="仿宋_GB2312" w:cs="Times New Roman"/>
          <w:spacing w:val="-2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100</w:t>
      </w:r>
      <w:r>
        <w:rPr>
          <w:rFonts w:hint="default" w:ascii="Times New Roman" w:hAnsi="Times New Roman" w:eastAsia="仿宋_GB2312" w:cs="Times New Roman"/>
          <w:spacing w:val="-47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万元（含）以上设备（不含车辆）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2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台（套）。</w:t>
      </w:r>
    </w:p>
    <w:p w14:paraId="7435B04B">
      <w:pPr>
        <w:spacing w:line="34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5" w:type="default"/>
          <w:pgSz w:w="11907" w:h="16839"/>
          <w:pgMar w:top="1431" w:right="1774" w:bottom="1153" w:left="1785" w:header="0" w:footer="965" w:gutter="0"/>
          <w:cols w:space="720" w:num="1"/>
        </w:sectPr>
      </w:pPr>
    </w:p>
    <w:p w14:paraId="12BD0AE8">
      <w:pPr>
        <w:spacing w:before="225" w:line="443" w:lineRule="exact"/>
        <w:ind w:left="2186"/>
        <w:outlineLvl w:val="0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第四部分</w:t>
      </w:r>
      <w:r>
        <w:rPr>
          <w:rFonts w:hint="default" w:ascii="Times New Roman" w:hAnsi="Times New Roman" w:eastAsia="仿宋_GB2312" w:cs="Times New Roman"/>
          <w:spacing w:val="24"/>
          <w:position w:val="-2"/>
          <w:sz w:val="44"/>
          <w:szCs w:val="44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position w:val="-2"/>
          <w:sz w:val="44"/>
          <w:szCs w:val="44"/>
        </w:rPr>
        <w:t>名词解释</w:t>
      </w:r>
    </w:p>
    <w:p w14:paraId="71735FD0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7796B5B1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1BA3A9D3">
      <w:pPr>
        <w:pStyle w:val="2"/>
        <w:spacing w:line="315" w:lineRule="auto"/>
        <w:rPr>
          <w:rFonts w:hint="default" w:ascii="Times New Roman" w:hAnsi="Times New Roman" w:eastAsia="仿宋_GB2312" w:cs="Times New Roman"/>
        </w:rPr>
      </w:pPr>
    </w:p>
    <w:p w14:paraId="5700E742">
      <w:pPr>
        <w:spacing w:before="100" w:line="297" w:lineRule="auto"/>
        <w:ind w:left="39" w:right="13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一、财政拨款收入：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指单位从同级财政部门取得的财政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>预算资金。</w:t>
      </w:r>
    </w:p>
    <w:p w14:paraId="52DBAF76">
      <w:pPr>
        <w:spacing w:before="250" w:line="297" w:lineRule="auto"/>
        <w:ind w:left="30" w:right="1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二、上级补助收入：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指从主管部门和上级单位取得的非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财政补助收入。</w:t>
      </w:r>
    </w:p>
    <w:p w14:paraId="506D7CF7">
      <w:pPr>
        <w:spacing w:before="249" w:line="298" w:lineRule="auto"/>
        <w:ind w:left="44" w:right="18" w:firstLine="649"/>
        <w:outlineLvl w:val="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1"/>
          <w:szCs w:val="31"/>
        </w:rPr>
        <w:t>三、事业收入：指事业单位开展专业业务活动及辅助活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1"/>
          <w:szCs w:val="31"/>
        </w:rPr>
        <w:t>动取得的收入。</w:t>
      </w:r>
    </w:p>
    <w:p w14:paraId="05854896">
      <w:pPr>
        <w:spacing w:before="249" w:line="297" w:lineRule="auto"/>
        <w:ind w:left="44" w:right="16" w:firstLine="662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四、经营收入：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指事业单位在专业业务活动及其辅助活</w:t>
      </w:r>
      <w:r>
        <w:rPr>
          <w:rFonts w:hint="default" w:ascii="Times New Roman" w:hAnsi="Times New Roman" w:eastAsia="仿宋_GB2312" w:cs="Times New Roman"/>
          <w:spacing w:val="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动之外开展非独立核算经营活动取得的收入。</w:t>
      </w:r>
    </w:p>
    <w:p w14:paraId="14B70945">
      <w:pPr>
        <w:spacing w:before="249" w:line="298" w:lineRule="auto"/>
        <w:ind w:left="28" w:right="1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五、附属单位上缴收入：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指事业单位附属独立核算单位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按照有关规定上缴的收入。</w:t>
      </w:r>
    </w:p>
    <w:p w14:paraId="6178E573">
      <w:pPr>
        <w:spacing w:before="246" w:line="347" w:lineRule="auto"/>
        <w:ind w:left="29" w:right="14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六、其他收入：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指除上述收入以外的各项收入。包括未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纳入财政预算或财政专户管理的投资收益、银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行存款利息收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入、租金收入、捐赠收入，现金盘盈收入、存货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盘盈收入、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收回已核销应收及预付款项、无法偿付的应付及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预收款项，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从省财政以外的同级单位取得的经费、从非省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财政取得的经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费，以及行政单位收到的财政专户管理资金等。</w:t>
      </w:r>
    </w:p>
    <w:p w14:paraId="69C1804F">
      <w:pPr>
        <w:spacing w:before="252" w:line="322" w:lineRule="auto"/>
        <w:ind w:left="28" w:right="10" w:firstLine="64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1"/>
          <w:szCs w:val="31"/>
        </w:rPr>
        <w:t>七、使用非财政拨款结余（含专用结余</w:t>
      </w:r>
      <w:r>
        <w:rPr>
          <w:rFonts w:hint="default" w:ascii="Times New Roman" w:hAnsi="Times New Roman" w:eastAsia="仿宋_GB2312" w:cs="Times New Roman"/>
          <w:b/>
          <w:bCs/>
          <w:spacing w:val="16"/>
          <w:sz w:val="31"/>
          <w:szCs w:val="31"/>
        </w:rPr>
        <w:t>）：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指事业单位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按照预算管理要求使用非财政拨款结余弥补收支差额的金</w:t>
      </w:r>
      <w:r>
        <w:rPr>
          <w:rFonts w:hint="default" w:ascii="Times New Roman" w:hAnsi="Times New Roman" w:eastAsia="仿宋_GB2312" w:cs="Times New Roman"/>
          <w:spacing w:val="1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额，以及使用专用结余安排支出的金额。</w:t>
      </w:r>
    </w:p>
    <w:p w14:paraId="7A29D4AD">
      <w:pPr>
        <w:spacing w:before="249" w:line="220" w:lineRule="auto"/>
        <w:ind w:right="13"/>
        <w:jc w:val="right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八、年初结转和结余：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指单位以前年度尚未完成、结转</w:t>
      </w:r>
    </w:p>
    <w:p w14:paraId="57D25811">
      <w:pPr>
        <w:spacing w:line="220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CAA251D">
      <w:pPr>
        <w:spacing w:before="160" w:line="357" w:lineRule="auto"/>
        <w:ind w:left="46" w:right="189" w:hanging="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到本年按有关规定用途继续使用的资金，或项目已完成等产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1"/>
          <w:szCs w:val="31"/>
        </w:rPr>
        <w:t>生的结余资金。</w:t>
      </w:r>
    </w:p>
    <w:p w14:paraId="7AECE2AD">
      <w:pPr>
        <w:spacing w:before="48" w:line="355" w:lineRule="auto"/>
        <w:ind w:left="32" w:right="155" w:firstLine="641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九、结余分配：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指事业单位按照会计制度规定缴纳的所</w:t>
      </w:r>
      <w:r>
        <w:rPr>
          <w:rFonts w:hint="default" w:ascii="Times New Roman" w:hAnsi="Times New Roman" w:eastAsia="仿宋_GB2312" w:cs="Times New Roman"/>
          <w:spacing w:val="1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得税、提取的专用结余以及转入非财政拨款结余的金额等。</w:t>
      </w:r>
    </w:p>
    <w:p w14:paraId="186EC7D4">
      <w:pPr>
        <w:spacing w:before="54" w:line="364" w:lineRule="auto"/>
        <w:ind w:left="29" w:right="153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十、年末结转和结余：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指单位按有关规定结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转到下年或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21"/>
          <w:sz w:val="31"/>
          <w:szCs w:val="31"/>
        </w:rPr>
        <w:t>以后年度继续使用的资金，或项目已完成等产生的结余资</w:t>
      </w:r>
      <w:r>
        <w:rPr>
          <w:rFonts w:hint="default" w:ascii="Times New Roman" w:hAnsi="Times New Roman" w:eastAsia="仿宋_GB2312" w:cs="Times New Roman"/>
          <w:spacing w:val="10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  <w:sz w:val="31"/>
          <w:szCs w:val="31"/>
        </w:rPr>
        <w:t>金。</w:t>
      </w:r>
    </w:p>
    <w:p w14:paraId="651B32AC">
      <w:pPr>
        <w:spacing w:before="39" w:line="297" w:lineRule="auto"/>
        <w:ind w:left="30" w:right="153" w:firstLine="65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十一、基本支出：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指为保障机构正常运转、完成日常工</w:t>
      </w:r>
      <w:r>
        <w:rPr>
          <w:rFonts w:hint="default" w:ascii="Times New Roman" w:hAnsi="Times New Roman" w:eastAsia="仿宋_GB2312" w:cs="Times New Roman"/>
          <w:spacing w:val="1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作任务而发生的人员支出和公用支出。</w:t>
      </w:r>
    </w:p>
    <w:p w14:paraId="4DB4B021">
      <w:pPr>
        <w:spacing w:before="250" w:line="298" w:lineRule="auto"/>
        <w:ind w:left="33" w:right="154" w:firstLine="65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十二、项目支出：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指在基本支出之外为完成特定行政任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1"/>
          <w:szCs w:val="31"/>
        </w:rPr>
        <w:t>务或事业发展目标所发生的支出。</w:t>
      </w:r>
    </w:p>
    <w:p w14:paraId="48999D0A">
      <w:pPr>
        <w:spacing w:before="249" w:line="297" w:lineRule="auto"/>
        <w:ind w:left="44" w:right="155" w:firstLine="639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十三、经营支出：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指事业单位在专业业务活动及其辅助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活动之外开展非独立核算经营活动发生的支出。</w:t>
      </w:r>
    </w:p>
    <w:p w14:paraId="1B854AD9">
      <w:pPr>
        <w:spacing w:before="249" w:line="297" w:lineRule="auto"/>
        <w:ind w:left="40" w:right="153" w:firstLine="64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十四、上缴上级支出：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指事业单位按照有关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规定上缴上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1"/>
          <w:szCs w:val="31"/>
        </w:rPr>
        <w:t>级单位的支出。</w:t>
      </w:r>
    </w:p>
    <w:p w14:paraId="69A802BD">
      <w:pPr>
        <w:spacing w:before="251" w:line="297" w:lineRule="auto"/>
        <w:ind w:left="29" w:right="152" w:firstLine="654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十五、对附属单位补助支出：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指事业单位用财政补助收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入之外的收入对附属单位补助发生的支出。</w:t>
      </w:r>
    </w:p>
    <w:p w14:paraId="11712AA7">
      <w:pPr>
        <w:spacing w:before="252" w:line="342" w:lineRule="auto"/>
        <w:ind w:left="25" w:firstLine="658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十六、“三公”经费：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纳入省级财政预决算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管理的“三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公”经费，是指省级部门用财政拨款安排的因公出国（境）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费、公务用车购置及运行维护费和公务接待费。是党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政机关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维持运转或完成特定工作任务所开支的相关支出，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是政府行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政开支的一部分。其中，</w:t>
      </w:r>
      <w:r>
        <w:rPr>
          <w:rFonts w:hint="default" w:ascii="Times New Roman" w:hAnsi="Times New Roman" w:eastAsia="仿宋_GB2312" w:cs="Times New Roman"/>
          <w:spacing w:val="-4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1"/>
          <w:szCs w:val="31"/>
        </w:rPr>
        <w:t>因公出国（境）费反映公</w:t>
      </w:r>
      <w:r>
        <w:rPr>
          <w:rFonts w:hint="default" w:ascii="Times New Roman" w:hAnsi="Times New Roman" w:eastAsia="仿宋_GB2312" w:cs="Times New Roman"/>
          <w:spacing w:val="-13"/>
          <w:sz w:val="31"/>
          <w:szCs w:val="31"/>
        </w:rPr>
        <w:t>务出国（境）</w:t>
      </w:r>
    </w:p>
    <w:p w14:paraId="34B693D9">
      <w:pPr>
        <w:spacing w:line="342" w:lineRule="auto"/>
        <w:rPr>
          <w:rFonts w:hint="default" w:ascii="Times New Roman" w:hAnsi="Times New Roman" w:eastAsia="仿宋_GB2312" w:cs="Times New Roman"/>
          <w:sz w:val="31"/>
          <w:szCs w:val="31"/>
        </w:rPr>
        <w:sectPr>
          <w:footerReference r:id="rId27" w:type="default"/>
          <w:pgSz w:w="11907" w:h="16839"/>
          <w:pgMar w:top="1431" w:right="1646" w:bottom="1153" w:left="1785" w:header="0" w:footer="965" w:gutter="0"/>
          <w:cols w:space="720" w:num="1"/>
        </w:sectPr>
      </w:pPr>
    </w:p>
    <w:p w14:paraId="5D33DEB8">
      <w:pPr>
        <w:spacing w:before="155" w:line="366" w:lineRule="auto"/>
        <w:ind w:left="25" w:firstLine="28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pacing w:val="-1"/>
          <w:sz w:val="31"/>
          <w:szCs w:val="31"/>
        </w:rPr>
        <w:t>的国际旅费、国外城市间交通费、住宿费、伙食费、培训费、</w:t>
      </w:r>
      <w:r>
        <w:rPr>
          <w:rFonts w:hint="default" w:ascii="Times New Roman" w:hAnsi="Times New Roman" w:eastAsia="仿宋_GB2312" w:cs="Times New Roman"/>
          <w:spacing w:val="16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公杂费等支出；公务用车购置及运行费反映单位公务用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车车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辆购置支出（含车辆购置税）及燃料费、维修费、过桥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过路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费、保险费、安全奖励费等支出；公务接待费反映单位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按规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定开支的各类公务接待（含外宾接待）支出。</w:t>
      </w:r>
    </w:p>
    <w:p w14:paraId="0B4A829E">
      <w:pPr>
        <w:spacing w:before="48" w:line="347" w:lineRule="auto"/>
        <w:ind w:left="26" w:right="93" w:firstLine="656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7"/>
          <w:sz w:val="31"/>
          <w:szCs w:val="31"/>
        </w:rPr>
        <w:t>十七、机关运行经费：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指为保障行政单位（包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括参照公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务员法管理的事业单位）运行用于购买货物和服务的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各项资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金，包括办公费、</w:t>
      </w:r>
      <w:r>
        <w:rPr>
          <w:rFonts w:hint="default" w:ascii="Times New Roman" w:hAnsi="Times New Roman" w:eastAsia="仿宋_GB2312" w:cs="Times New Roman"/>
          <w:spacing w:val="-82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印刷费、邮电费、差旅费、会议费、福利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费、日常维修费、专用材料及一般设备购置费、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办公用房水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1"/>
          <w:szCs w:val="31"/>
        </w:rPr>
        <w:t>电费、办公用房取暖费、办公用房物业管理费、</w:t>
      </w:r>
      <w:r>
        <w:rPr>
          <w:rFonts w:hint="default" w:ascii="Times New Roman" w:hAnsi="Times New Roman" w:eastAsia="仿宋_GB2312" w:cs="Times New Roman"/>
          <w:spacing w:val="8"/>
          <w:sz w:val="31"/>
          <w:szCs w:val="31"/>
        </w:rPr>
        <w:t>公务用车运</w:t>
      </w:r>
      <w:r>
        <w:rPr>
          <w:rFonts w:hint="default" w:ascii="Times New Roman" w:hAnsi="Times New Roman" w:eastAsia="仿宋_GB2312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3"/>
          <w:sz w:val="31"/>
          <w:szCs w:val="31"/>
        </w:rPr>
        <w:t>行维护费以及其他费用。</w:t>
      </w:r>
    </w:p>
    <w:p w14:paraId="2B578553">
      <w:pPr>
        <w:spacing w:before="250" w:line="322" w:lineRule="auto"/>
        <w:ind w:left="43" w:right="93" w:firstLine="640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1"/>
          <w:szCs w:val="31"/>
        </w:rPr>
        <w:t>十八、</w:t>
      </w:r>
      <w:r>
        <w:rPr>
          <w:rFonts w:hint="default" w:ascii="Times New Roman" w:hAnsi="Times New Roman" w:eastAsia="仿宋_GB2312" w:cs="Times New Roman"/>
          <w:spacing w:val="6"/>
          <w:sz w:val="31"/>
          <w:szCs w:val="31"/>
        </w:rPr>
        <w:t>（对部门使用的所有“项”级政府收支分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1"/>
          <w:szCs w:val="31"/>
        </w:rPr>
        <w:t>类科目，参照《2023年政府收支分类科目》中的科目说明和</w:t>
      </w:r>
      <w:r>
        <w:rPr>
          <w:rFonts w:hint="default" w:ascii="Times New Roman" w:hAnsi="Times New Roman" w:eastAsia="仿宋_GB2312" w:cs="Times New Roman"/>
          <w:spacing w:val="18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1"/>
          <w:szCs w:val="31"/>
        </w:rPr>
        <w:t>中央部门决算公开内容进行说明</w:t>
      </w:r>
      <w:r>
        <w:rPr>
          <w:rFonts w:hint="default" w:ascii="Times New Roman" w:hAnsi="Times New Roman" w:eastAsia="仿宋_GB2312" w:cs="Times New Roman"/>
          <w:spacing w:val="19"/>
          <w:sz w:val="31"/>
          <w:szCs w:val="31"/>
        </w:rPr>
        <w:t>）：</w:t>
      </w:r>
    </w:p>
    <w:p w14:paraId="12D4AFBD">
      <w:pPr>
        <w:spacing w:before="250" w:line="224" w:lineRule="auto"/>
        <w:ind w:left="683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b/>
          <w:bCs/>
          <w:spacing w:val="-8"/>
          <w:sz w:val="31"/>
          <w:szCs w:val="31"/>
        </w:rPr>
        <w:t>十九、</w:t>
      </w:r>
      <w:r>
        <w:rPr>
          <w:rFonts w:hint="default" w:ascii="Times New Roman" w:hAnsi="Times New Roman" w:eastAsia="仿宋_GB2312" w:cs="Times New Roman"/>
          <w:spacing w:val="-8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sz w:val="31"/>
          <w:szCs w:val="31"/>
        </w:rPr>
        <w:t>…</w:t>
      </w:r>
      <w:r>
        <w:rPr>
          <w:rFonts w:hint="default" w:ascii="Times New Roman" w:hAnsi="Times New Roman" w:eastAsia="仿宋_GB2312" w:cs="Times New Roman"/>
          <w:spacing w:val="-103"/>
          <w:sz w:val="31"/>
          <w:szCs w:val="31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sz w:val="31"/>
          <w:szCs w:val="31"/>
        </w:rPr>
        <w:t>…（同上）</w:t>
      </w:r>
    </w:p>
    <w:p w14:paraId="602C04D1">
      <w:pPr>
        <w:spacing w:before="249" w:line="355" w:lineRule="auto"/>
        <w:ind w:left="26" w:right="98" w:firstLine="648"/>
        <w:rPr>
          <w:rFonts w:hint="default" w:ascii="Times New Roman" w:hAnsi="Times New Roman" w:eastAsia="仿宋_GB2312" w:cs="Times New Roman"/>
          <w:color w:val="FF0000"/>
          <w:spacing w:val="5"/>
          <w:sz w:val="31"/>
          <w:szCs w:val="31"/>
        </w:rPr>
      </w:pPr>
    </w:p>
    <w:sectPr>
      <w:footerReference r:id="rId28" w:type="default"/>
      <w:pgSz w:w="11907" w:h="16839"/>
      <w:pgMar w:top="1431" w:right="1705" w:bottom="1153" w:left="1785" w:header="0" w:footer="9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F9382">
    <w:pPr>
      <w:spacing w:line="177" w:lineRule="auto"/>
      <w:ind w:left="413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7600B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8564">
    <w:pPr>
      <w:spacing w:line="177" w:lineRule="auto"/>
      <w:ind w:left="409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8"/>
        <w:sz w:val="21"/>
        <w:szCs w:val="21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82B99">
    <w:pPr>
      <w:spacing w:line="177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BD24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4049">
    <w:pPr>
      <w:spacing w:line="177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4F528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BDB8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A02FB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D828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1A21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CBBDC">
    <w:pPr>
      <w:spacing w:line="177" w:lineRule="auto"/>
      <w:ind w:left="411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C2EC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23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9FD73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7E3DF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25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0496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26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A7825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5D5C8"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D146A">
    <w:pPr>
      <w:spacing w:line="177" w:lineRule="auto"/>
      <w:ind w:left="411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4C722">
    <w:pPr>
      <w:spacing w:line="174" w:lineRule="auto"/>
      <w:ind w:left="41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F71AB">
    <w:pPr>
      <w:spacing w:line="176" w:lineRule="auto"/>
      <w:ind w:left="412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0B54F">
    <w:pPr>
      <w:spacing w:line="174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DBE5">
    <w:pPr>
      <w:spacing w:line="176" w:lineRule="auto"/>
      <w:ind w:left="412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48EDA"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69DDB"/>
    <w:multiLevelType w:val="singleLevel"/>
    <w:tmpl w:val="46669D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IxNGQzOWJjMDJlY2RiNjYzMWIzZGY2NzMwM2NjYmQifQ=="/>
  </w:docVars>
  <w:rsids>
    <w:rsidRoot w:val="00000000"/>
    <w:rsid w:val="01AA1179"/>
    <w:rsid w:val="045523D5"/>
    <w:rsid w:val="16E22E2F"/>
    <w:rsid w:val="2324183F"/>
    <w:rsid w:val="45A122E9"/>
    <w:rsid w:val="59866125"/>
    <w:rsid w:val="73514095"/>
    <w:rsid w:val="74321F08"/>
    <w:rsid w:val="77B94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link w:val="6"/>
    <w:qFormat/>
    <w:uiPriority w:val="0"/>
    <w:rPr>
      <w:rFonts w:eastAsia="宋体"/>
      <w:sz w:val="21"/>
      <w:szCs w:val="20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7">
    <w:name w:val="page number"/>
    <w:basedOn w:val="5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numbering" Target="numbering.xml"/><Relationship Id="rId38" Type="http://schemas.openxmlformats.org/officeDocument/2006/relationships/image" Target="media/image9.png"/><Relationship Id="rId37" Type="http://schemas.openxmlformats.org/officeDocument/2006/relationships/image" Target="media/image8.png"/><Relationship Id="rId36" Type="http://schemas.openxmlformats.org/officeDocument/2006/relationships/image" Target="media/image7.png"/><Relationship Id="rId35" Type="http://schemas.openxmlformats.org/officeDocument/2006/relationships/image" Target="media/image6.png"/><Relationship Id="rId34" Type="http://schemas.openxmlformats.org/officeDocument/2006/relationships/image" Target="media/image5.png"/><Relationship Id="rId33" Type="http://schemas.openxmlformats.org/officeDocument/2006/relationships/image" Target="media/image4.png"/><Relationship Id="rId32" Type="http://schemas.openxmlformats.org/officeDocument/2006/relationships/image" Target="media/image3.png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4848</Words>
  <Characters>5242</Characters>
  <TotalTime>48</TotalTime>
  <ScaleCrop>false</ScaleCrop>
  <LinksUpToDate>false</LinksUpToDate>
  <CharactersWithSpaces>5510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2024-08-07T08:54:00Z</dcterms:created>
  <dc:creator>王志强</dc:creator>
  <cp:lastModifiedBy>如意</cp:lastModifiedBy>
  <cp:lastPrinted>2024-08-26T08:47:00Z</cp:lastPrinted>
  <dcterms:modified xsi:type="dcterms:W3CDTF">2025-09-23T06:23:24Z</dcterms:modified>
  <dc:title>2015年度部门决算公开模板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2024-08-26T15:58:15Z</vt:filetime>
  </property>
  <property fmtid="{D5CDD505-2E9C-101B-9397-08002B2CF9AE}" pid="4" name="KSOProductBuildVer">
    <vt:lpwstr>2052-12.1.0.22529</vt:lpwstr>
  </property>
  <property fmtid="{D5CDD505-2E9C-101B-9397-08002B2CF9AE}" pid="5" name="ICV">
    <vt:lpwstr>5F3DB37D623F44DFAD6C6BD8873D84DC_13</vt:lpwstr>
  </property>
  <property fmtid="{D5CDD505-2E9C-101B-9397-08002B2CF9AE}" pid="6" name="KSOTemplateDocerSaveRecord">
    <vt:lpwstr>eyJoZGlkIjoiMmM1OWYyZmY1ZTA2ZDA3ZGI4Y2Q4ODRhMWI2NzQzM2UiLCJ1c2VySWQiOiI4Nzk1NjM3OTcifQ==</vt:lpwstr>
  </property>
</Properties>
</file>