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 xml:space="preserve">附件 </w:t>
      </w:r>
      <w:r>
        <w:rPr>
          <w:rFonts w:hint="default" w:ascii="Times New Roman" w:hAnsi="Times New Roman" w:eastAsia="仿宋" w:cs="Times New Roman"/>
          <w:snapToGrid/>
          <w:kern w:val="2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>：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napToGrid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44"/>
          <w:szCs w:val="44"/>
          <w:lang w:eastAsia="zh-CN"/>
        </w:rPr>
        <w:t>2023 年度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napToGrid/>
          <w:kern w:val="2"/>
          <w:sz w:val="44"/>
          <w:szCs w:val="4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仿宋" w:hAnsi="仿宋" w:eastAsia="仿宋" w:cs="Arial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44"/>
          <w:szCs w:val="44"/>
          <w:lang w:eastAsia="zh-CN"/>
        </w:rPr>
        <w:t>综保区党建工作办公室</w:t>
      </w:r>
      <w:r>
        <w:rPr>
          <w:rFonts w:hint="default" w:ascii="Times New Roman" w:hAnsi="Times New Roman" w:eastAsia="黑体" w:cs="Times New Roman"/>
          <w:snapToGrid/>
          <w:kern w:val="2"/>
          <w:sz w:val="44"/>
          <w:szCs w:val="44"/>
          <w:lang w:eastAsia="zh-CN"/>
        </w:rPr>
        <w:t>部门决算</w:t>
      </w: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Arial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 xml:space="preserve">2024 </w:t>
      </w:r>
      <w:r>
        <w:rPr>
          <w:rFonts w:hint="default" w:ascii="仿宋" w:hAnsi="仿宋" w:eastAsia="仿宋" w:cs="Arial"/>
          <w:snapToGrid/>
          <w:kern w:val="2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Arial"/>
          <w:snapToGrid/>
          <w:kern w:val="2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 w:cs="Arial"/>
          <w:snapToGrid/>
          <w:kern w:val="2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Arial"/>
          <w:snapToGrid/>
          <w:kern w:val="2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Arial"/>
          <w:snapToGrid/>
          <w:kern w:val="2"/>
          <w:sz w:val="32"/>
          <w:szCs w:val="32"/>
          <w:lang w:eastAsia="zh-CN"/>
        </w:rPr>
        <w:t>日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仿宋" w:hAnsi="仿宋" w:eastAsia="仿宋" w:cs="Arial"/>
          <w:snapToGrid/>
          <w:kern w:val="2"/>
          <w:sz w:val="44"/>
          <w:szCs w:val="44"/>
          <w:lang w:eastAsia="zh-CN"/>
        </w:rPr>
        <w:sectPr>
          <w:footerReference r:id="rId5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>
      <w:pPr>
        <w:pStyle w:val="2"/>
        <w:spacing w:line="289" w:lineRule="auto"/>
      </w:pPr>
    </w:p>
    <w:p>
      <w:pPr>
        <w:pStyle w:val="2"/>
        <w:spacing w:line="240" w:lineRule="auto"/>
      </w:pPr>
    </w:p>
    <w:p>
      <w:pPr>
        <w:spacing w:before="140" w:line="240" w:lineRule="auto"/>
        <w:ind w:left="3502"/>
        <w:outlineLvl w:val="0"/>
        <w:rPr>
          <w:rFonts w:ascii="仿宋" w:hAnsi="仿宋" w:eastAsia="仿宋" w:cs="仿宋"/>
          <w:sz w:val="43"/>
          <w:szCs w:val="43"/>
        </w:rPr>
      </w:pPr>
      <w:r>
        <w:rPr>
          <w:rFonts w:hint="eastAsia" w:ascii="仿宋" w:hAnsi="仿宋" w:eastAsia="仿宋" w:cs="Times New Roman"/>
          <w:snapToGrid/>
          <w:kern w:val="2"/>
          <w:sz w:val="44"/>
          <w:szCs w:val="22"/>
          <w:lang w:eastAsia="zh-CN"/>
        </w:rPr>
        <w:t>目   录</w:t>
      </w:r>
    </w:p>
    <w:p>
      <w:pPr>
        <w:pStyle w:val="2"/>
        <w:spacing w:line="240" w:lineRule="auto"/>
      </w:pPr>
    </w:p>
    <w:p>
      <w:pPr>
        <w:pStyle w:val="2"/>
        <w:spacing w:line="240" w:lineRule="auto"/>
      </w:pPr>
    </w:p>
    <w:p>
      <w:pPr>
        <w:spacing w:before="101" w:line="240" w:lineRule="auto"/>
        <w:ind w:left="4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第一部分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部门概况</w:t>
      </w:r>
    </w:p>
    <w:p>
      <w:pPr>
        <w:spacing w:before="249" w:line="240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一、部门职责</w:t>
      </w:r>
    </w:p>
    <w:p>
      <w:pPr>
        <w:spacing w:before="250" w:line="240" w:lineRule="auto"/>
        <w:ind w:left="4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二、机构设置及部门决算单位构成</w:t>
      </w:r>
    </w:p>
    <w:p>
      <w:pPr>
        <w:spacing w:before="250" w:line="240" w:lineRule="auto"/>
        <w:ind w:left="49"/>
        <w:outlineLvl w:val="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2"/>
          <w:sz w:val="31"/>
          <w:szCs w:val="31"/>
        </w:rPr>
        <w:t>第二部分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2"/>
          <w:sz w:val="31"/>
          <w:szCs w:val="31"/>
        </w:rPr>
        <w:t>2023</w:t>
      </w:r>
      <w:r>
        <w:rPr>
          <w:rFonts w:hint="default" w:ascii="Times New Roman" w:hAnsi="Times New Roman" w:eastAsia="仿宋_GB2312" w:cs="Times New Roman"/>
          <w:spacing w:val="-3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2"/>
          <w:sz w:val="31"/>
          <w:szCs w:val="31"/>
        </w:rPr>
        <w:t>年度部门决算表</w:t>
      </w:r>
    </w:p>
    <w:p>
      <w:pPr>
        <w:spacing w:before="250" w:line="240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一、收入支出决算总表</w:t>
      </w:r>
    </w:p>
    <w:p>
      <w:pPr>
        <w:spacing w:before="250" w:line="240" w:lineRule="auto"/>
        <w:ind w:left="4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二、收入决算表</w:t>
      </w:r>
    </w:p>
    <w:p>
      <w:pPr>
        <w:spacing w:before="249" w:line="240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三、支出决算表</w:t>
      </w:r>
    </w:p>
    <w:p>
      <w:pPr>
        <w:spacing w:before="250" w:line="240" w:lineRule="auto"/>
        <w:ind w:left="7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四、财政拨款收入支出决算总表</w:t>
      </w:r>
    </w:p>
    <w:p>
      <w:pPr>
        <w:spacing w:before="249" w:line="240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五、一般公共预算财政拨款支出决算表</w:t>
      </w:r>
    </w:p>
    <w:p>
      <w:pPr>
        <w:spacing w:before="250" w:line="240" w:lineRule="auto"/>
        <w:ind w:left="38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六、一般公共预算财政拨款基本支出决算明细表</w:t>
      </w:r>
    </w:p>
    <w:p>
      <w:pPr>
        <w:spacing w:before="251" w:line="240" w:lineRule="auto"/>
        <w:ind w:left="4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七、政府性基金预算财政拨款收入支出决算表</w:t>
      </w:r>
    </w:p>
    <w:p>
      <w:pPr>
        <w:spacing w:before="252" w:line="240" w:lineRule="auto"/>
        <w:ind w:left="3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八、</w:t>
      </w:r>
      <w:r>
        <w:rPr>
          <w:rFonts w:hint="default" w:ascii="Times New Roman" w:hAnsi="Times New Roman" w:eastAsia="仿宋_GB2312" w:cs="Times New Roman"/>
          <w:spacing w:val="-8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国有资本经营预算财政拨款支出决算表</w:t>
      </w:r>
    </w:p>
    <w:p>
      <w:pPr>
        <w:spacing w:before="249" w:line="240" w:lineRule="auto"/>
        <w:ind w:left="47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九、财政拨款“三公”经费支出决算表</w:t>
      </w:r>
    </w:p>
    <w:p>
      <w:pPr>
        <w:spacing w:before="250" w:line="240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十、部门预算项目支出绩效自评表</w:t>
      </w:r>
    </w:p>
    <w:p>
      <w:pPr>
        <w:spacing w:before="249" w:line="240" w:lineRule="auto"/>
        <w:ind w:left="49"/>
        <w:outlineLvl w:val="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3"/>
          <w:sz w:val="31"/>
          <w:szCs w:val="31"/>
        </w:rPr>
        <w:t>第三部分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3"/>
          <w:sz w:val="31"/>
          <w:szCs w:val="31"/>
        </w:rPr>
        <w:t>2023</w:t>
      </w:r>
      <w:r>
        <w:rPr>
          <w:rFonts w:hint="default" w:ascii="Times New Roman" w:hAnsi="Times New Roman" w:eastAsia="仿宋_GB2312" w:cs="Times New Roman"/>
          <w:spacing w:val="-3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3"/>
          <w:sz w:val="31"/>
          <w:szCs w:val="31"/>
        </w:rPr>
        <w:t>年度部门决算情况说明</w:t>
      </w:r>
    </w:p>
    <w:p>
      <w:pPr>
        <w:spacing w:before="250" w:line="240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一、收入支出决算总体情况说明</w:t>
      </w:r>
    </w:p>
    <w:p>
      <w:pPr>
        <w:spacing w:before="250" w:line="240" w:lineRule="auto"/>
        <w:ind w:left="4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二、收入决算情况说明</w:t>
      </w:r>
    </w:p>
    <w:p>
      <w:pPr>
        <w:spacing w:before="250" w:line="240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三、支出决算情况说明</w:t>
      </w:r>
    </w:p>
    <w:p>
      <w:pPr>
        <w:spacing w:before="249" w:line="240" w:lineRule="auto"/>
        <w:ind w:left="7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四、财政拨款收入支出决算总体情况说明</w:t>
      </w:r>
    </w:p>
    <w:p>
      <w:pPr>
        <w:spacing w:line="240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6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>
      <w:pPr>
        <w:spacing w:before="159" w:line="240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五、一般公共预算财政拨款支出决算情况说明</w:t>
      </w:r>
    </w:p>
    <w:p>
      <w:pPr>
        <w:spacing w:before="249" w:line="240" w:lineRule="auto"/>
        <w:ind w:left="38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六、一般公共预算财政拨款基本支出决算情况说明</w:t>
      </w:r>
    </w:p>
    <w:p>
      <w:pPr>
        <w:spacing w:before="250" w:line="240" w:lineRule="auto"/>
        <w:ind w:left="4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七、政府性基金预算财政拨款收入支出决算情况说明</w:t>
      </w:r>
    </w:p>
    <w:p>
      <w:pPr>
        <w:spacing w:before="251" w:line="240" w:lineRule="auto"/>
        <w:ind w:left="3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八、</w:t>
      </w:r>
      <w:r>
        <w:rPr>
          <w:rFonts w:hint="default" w:ascii="Times New Roman" w:hAnsi="Times New Roman" w:eastAsia="仿宋_GB2312" w:cs="Times New Roman"/>
          <w:spacing w:val="-9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国有资本经营预算财政拨款支出决算情况说明</w:t>
      </w:r>
    </w:p>
    <w:p>
      <w:pPr>
        <w:spacing w:before="250" w:line="240" w:lineRule="auto"/>
        <w:ind w:left="47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九、财政拨款“三公”经费支出决算情况说明</w:t>
      </w:r>
    </w:p>
    <w:p>
      <w:pPr>
        <w:spacing w:before="249" w:line="240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十、绩效评价情况说明</w:t>
      </w:r>
    </w:p>
    <w:p>
      <w:pPr>
        <w:spacing w:before="248" w:line="240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十一、其他重要事项情况说明</w:t>
      </w:r>
    </w:p>
    <w:p>
      <w:pPr>
        <w:spacing w:before="250" w:line="240" w:lineRule="auto"/>
        <w:ind w:left="4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第四部分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名词解释</w:t>
      </w:r>
    </w:p>
    <w:p>
      <w:pPr>
        <w:spacing w:line="240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7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>
      <w:pPr>
        <w:pStyle w:val="2"/>
        <w:spacing w:line="240" w:lineRule="auto"/>
      </w:pPr>
    </w:p>
    <w:p>
      <w:pPr>
        <w:pStyle w:val="2"/>
        <w:spacing w:line="240" w:lineRule="auto"/>
      </w:pPr>
    </w:p>
    <w:p>
      <w:pPr>
        <w:spacing w:before="189" w:line="240" w:lineRule="auto"/>
        <w:ind w:left="2215"/>
        <w:outlineLvl w:val="0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pacing w:val="1"/>
          <w:position w:val="-2"/>
          <w:sz w:val="44"/>
          <w:szCs w:val="44"/>
        </w:rPr>
        <w:t>第一部分</w:t>
      </w:r>
      <w:r>
        <w:rPr>
          <w:rFonts w:hint="default" w:ascii="Times New Roman" w:hAnsi="Times New Roman" w:eastAsia="仿宋_GB2312" w:cs="Times New Roman"/>
          <w:b/>
          <w:bCs/>
          <w:spacing w:val="14"/>
          <w:position w:val="-2"/>
          <w:sz w:val="44"/>
          <w:szCs w:val="44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pacing w:val="1"/>
          <w:position w:val="-2"/>
          <w:sz w:val="44"/>
          <w:szCs w:val="44"/>
        </w:rPr>
        <w:t>部门概况</w:t>
      </w:r>
    </w:p>
    <w:p>
      <w:pPr>
        <w:pStyle w:val="2"/>
        <w:spacing w:line="240" w:lineRule="auto"/>
        <w:rPr>
          <w:rFonts w:hint="default" w:ascii="Times New Roman" w:hAnsi="Times New Roman" w:eastAsia="仿宋_GB2312" w:cs="Times New Roman"/>
        </w:rPr>
      </w:pPr>
    </w:p>
    <w:p>
      <w:pPr>
        <w:pStyle w:val="2"/>
        <w:spacing w:line="240" w:lineRule="auto"/>
        <w:rPr>
          <w:rFonts w:hint="default" w:ascii="Times New Roman" w:hAnsi="Times New Roman" w:eastAsia="仿宋_GB2312" w:cs="Times New Roman"/>
        </w:rPr>
      </w:pPr>
    </w:p>
    <w:p>
      <w:pPr>
        <w:pStyle w:val="2"/>
        <w:spacing w:line="240" w:lineRule="auto"/>
        <w:rPr>
          <w:rFonts w:hint="default" w:ascii="Times New Roman" w:hAnsi="Times New Roman" w:eastAsia="仿宋_GB2312" w:cs="Times New Roman"/>
        </w:rPr>
      </w:pPr>
    </w:p>
    <w:p>
      <w:pPr>
        <w:spacing w:before="101" w:line="240" w:lineRule="auto"/>
        <w:ind w:left="75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一、部门主要职责</w:t>
      </w:r>
      <w:r>
        <w:rPr>
          <w:rFonts w:hint="default" w:ascii="Times New Roman" w:hAnsi="Times New Roman" w:eastAsia="仿宋_GB2312" w:cs="Times New Roman"/>
          <w:spacing w:val="-8"/>
          <w:position w:val="-13"/>
          <w:sz w:val="31"/>
          <w:szCs w:val="31"/>
        </w:rPr>
        <w:t>……</w:t>
      </w:r>
    </w:p>
    <w:p>
      <w:pPr>
        <w:pStyle w:val="9"/>
        <w:spacing w:line="240" w:lineRule="auto"/>
        <w:rPr>
          <w:rFonts w:hint="eastAsia" w:eastAsia="仿宋_GB2312"/>
          <w:lang w:eastAsia="zh-CN"/>
        </w:rPr>
      </w:pPr>
      <w:r>
        <w:rPr>
          <w:rFonts w:hint="eastAsia"/>
        </w:rPr>
        <w:t>长春兴隆综合保税区</w:t>
      </w:r>
      <w:r>
        <w:rPr>
          <w:rFonts w:hint="eastAsia"/>
          <w:lang w:eastAsia="zh-CN"/>
        </w:rPr>
        <w:t>党建工作办公室</w:t>
      </w:r>
      <w:r>
        <w:rPr>
          <w:rFonts w:hint="eastAsia"/>
        </w:rPr>
        <w:t>为长春兴隆综合保税区管理委员会内设机构。</w:t>
      </w:r>
      <w:r>
        <w:rPr>
          <w:rFonts w:hint="eastAsia"/>
          <w:lang w:eastAsia="zh-CN"/>
        </w:rPr>
        <w:t>职责如下：</w:t>
      </w:r>
    </w:p>
    <w:p>
      <w:pPr>
        <w:pStyle w:val="9"/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1、</w:t>
      </w:r>
      <w:r>
        <w:rPr>
          <w:rFonts w:hint="eastAsia"/>
          <w:color w:val="000000"/>
        </w:rPr>
        <w:t>负责落实上级关于综合保税区及配套区发展的方针、政策、决定，研究制定相关的政策、规章、规范性文件及具体管理办法。</w:t>
      </w:r>
    </w:p>
    <w:p>
      <w:pPr>
        <w:pStyle w:val="9"/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2、</w:t>
      </w:r>
      <w:r>
        <w:rPr>
          <w:rFonts w:hint="eastAsia"/>
          <w:color w:val="000000"/>
        </w:rPr>
        <w:t>负责开展综合保税区整体规划、运营机制的研究和指导实施。</w:t>
      </w:r>
    </w:p>
    <w:p>
      <w:pPr>
        <w:pStyle w:val="9"/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3、</w:t>
      </w:r>
      <w:r>
        <w:rPr>
          <w:rFonts w:hint="eastAsia"/>
          <w:color w:val="000000"/>
        </w:rPr>
        <w:t>向国家、省、市各相关部门申请综合保税区的相关政策和扶持资金，并组织实施。</w:t>
      </w:r>
    </w:p>
    <w:p>
      <w:pPr>
        <w:pStyle w:val="9"/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4、</w:t>
      </w:r>
      <w:r>
        <w:rPr>
          <w:rFonts w:hint="eastAsia"/>
          <w:color w:val="000000"/>
        </w:rPr>
        <w:t>负责协调省市相关部门，协调海关、检验检疫、外汇、税务、质检、金融、口岸等部门在综合保税区及配套区开展业务。</w:t>
      </w:r>
    </w:p>
    <w:p>
      <w:pPr>
        <w:pStyle w:val="9"/>
        <w:spacing w:line="240" w:lineRule="auto"/>
        <w:ind w:left="0" w:leftChars="0" w:firstLine="640" w:firstLineChars="200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5、</w:t>
      </w:r>
      <w:r>
        <w:rPr>
          <w:rFonts w:hint="eastAsia"/>
          <w:color w:val="000000"/>
        </w:rPr>
        <w:t>负责综合保税区公文管理、档案管理、重要活动组织等工作。</w:t>
      </w:r>
    </w:p>
    <w:p>
      <w:pPr>
        <w:pStyle w:val="9"/>
        <w:spacing w:line="240" w:lineRule="auto"/>
        <w:ind w:left="0" w:leftChars="0" w:firstLine="640" w:firstLineChars="200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6、</w:t>
      </w:r>
      <w:r>
        <w:rPr>
          <w:rFonts w:hint="eastAsia"/>
          <w:color w:val="000000"/>
        </w:rPr>
        <w:t>负责研究制定综合保税区及配套区信息化系统规划，指导信息化平台的建设、管理和维护工作。</w:t>
      </w:r>
    </w:p>
    <w:p>
      <w:pPr>
        <w:pStyle w:val="9"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color w:val="000000"/>
          <w:lang w:val="en-US" w:eastAsia="zh-CN"/>
        </w:rPr>
        <w:t>7、</w:t>
      </w:r>
      <w:r>
        <w:rPr>
          <w:rFonts w:hint="eastAsia"/>
          <w:color w:val="000000"/>
        </w:rPr>
        <w:t>承办党工委、管委会交办的其它工作。</w:t>
      </w:r>
    </w:p>
    <w:p>
      <w:pPr>
        <w:spacing w:before="251" w:line="240" w:lineRule="auto"/>
        <w:ind w:left="672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二、机构设置及部门决算单位构成</w:t>
      </w:r>
    </w:p>
    <w:p>
      <w:pPr>
        <w:pStyle w:val="9"/>
        <w:spacing w:line="240" w:lineRule="auto"/>
        <w:ind w:left="0" w:leftChars="0" w:firstLine="640" w:firstLineChars="20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根据上述职责，</w:t>
      </w:r>
      <w:r>
        <w:rPr>
          <w:rFonts w:hint="eastAsia"/>
          <w:color w:val="000000"/>
          <w:lang w:val="en-US" w:eastAsia="zh-CN"/>
        </w:rPr>
        <w:t>综保区党建工作办公室内设2个科室，分别为综合科、业务科。</w:t>
      </w:r>
    </w:p>
    <w:p>
      <w:pPr>
        <w:spacing w:before="247" w:line="240" w:lineRule="auto"/>
        <w:ind w:left="54" w:right="12" w:firstLine="62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纳入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eastAsia="zh-CN"/>
        </w:rPr>
        <w:t>长春兴隆综合保税区党建工作办公室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2023 年度部门决算编制范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1"/>
          <w:szCs w:val="31"/>
        </w:rPr>
        <w:t>围的单位包括：</w:t>
      </w:r>
    </w:p>
    <w:p>
      <w:pPr>
        <w:pStyle w:val="2"/>
        <w:spacing w:line="240" w:lineRule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1.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eastAsia="zh-CN"/>
        </w:rPr>
        <w:t>长春兴隆综合保税区党建工作办公室本级</w:t>
      </w:r>
    </w:p>
    <w:p>
      <w:pPr>
        <w:spacing w:before="189" w:line="186" w:lineRule="auto"/>
        <w:ind w:left="1142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>第二部分</w:t>
      </w:r>
      <w:r>
        <w:rPr>
          <w:rFonts w:hint="default" w:ascii="Times New Roman" w:hAnsi="Times New Roman" w:eastAsia="仿宋_GB2312" w:cs="Times New Roman"/>
          <w:b/>
          <w:bCs/>
          <w:spacing w:val="111"/>
          <w:sz w:val="44"/>
          <w:szCs w:val="44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43"/>
          <w:szCs w:val="43"/>
        </w:rPr>
        <w:t>2023</w:t>
      </w:r>
      <w:r>
        <w:rPr>
          <w:rFonts w:hint="default" w:ascii="Times New Roman" w:hAnsi="Times New Roman" w:eastAsia="仿宋_GB2312" w:cs="Times New Roman"/>
          <w:b/>
          <w:bCs/>
          <w:spacing w:val="-103"/>
          <w:sz w:val="43"/>
          <w:szCs w:val="43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>年度部门决算表</w:t>
      </w:r>
    </w:p>
    <w:p>
      <w:pPr>
        <w:pStyle w:val="2"/>
        <w:spacing w:line="268" w:lineRule="auto"/>
        <w:rPr>
          <w:rFonts w:hint="default" w:ascii="Times New Roman" w:hAnsi="Times New Roman" w:eastAsia="仿宋_GB2312" w:cs="Times New Roman"/>
        </w:rPr>
      </w:pPr>
    </w:p>
    <w:p>
      <w:pPr>
        <w:spacing w:before="100" w:line="224" w:lineRule="auto"/>
        <w:ind w:left="672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一、收入支出决算总表</w:t>
      </w:r>
    </w:p>
    <w:p>
      <w:pPr>
        <w:pStyle w:val="2"/>
        <w:spacing w:line="337" w:lineRule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5293360" cy="5817235"/>
            <wp:effectExtent l="0" t="0" r="2540" b="12065"/>
            <wp:docPr id="1" name="图片 1" descr="afb580f1cb899146548ba171776c6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b580f1cb899146548ba171776c6a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581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>
      <w:pPr>
        <w:spacing w:before="101" w:line="224" w:lineRule="auto"/>
        <w:ind w:left="67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二、收入决算表</w:t>
      </w:r>
    </w:p>
    <w:p>
      <w:pPr>
        <w:pStyle w:val="2"/>
        <w:spacing w:line="262" w:lineRule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5293360" cy="3860800"/>
            <wp:effectExtent l="0" t="0" r="2540" b="6350"/>
            <wp:docPr id="2" name="图片 2" descr="214d29645e73b86bc4a16c09c71b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4d29645e73b86bc4a16c09c71b4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>
      <w:pPr>
        <w:spacing w:before="101" w:line="224" w:lineRule="auto"/>
        <w:ind w:left="674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三、支出决算表</w:t>
      </w:r>
    </w:p>
    <w:p>
      <w:pPr>
        <w:pStyle w:val="2"/>
        <w:spacing w:line="340" w:lineRule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5292090" cy="3745865"/>
            <wp:effectExtent l="0" t="0" r="3810" b="6985"/>
            <wp:docPr id="3" name="图片 3" descr="2c3489081b2bd98d852b038bea03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c3489081b2bd98d852b038bea03c3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before="101" w:line="224" w:lineRule="auto"/>
        <w:ind w:left="686"/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财政拨款收入支出决算总表</w:t>
      </w:r>
    </w:p>
    <w:p>
      <w:pPr>
        <w:pStyle w:val="2"/>
        <w:spacing w:line="339" w:lineRule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5292090" cy="4615180"/>
            <wp:effectExtent l="0" t="0" r="3810" b="13970"/>
            <wp:docPr id="4" name="图片 4" descr="e77ee83ff04cdd534bfd3b2173e85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77ee83ff04cdd534bfd3b2173e85f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46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五、一般公共预算财政拨款支出决算表</w:t>
      </w:r>
    </w:p>
    <w:p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5285105" cy="2628265"/>
            <wp:effectExtent l="0" t="0" r="10795" b="635"/>
            <wp:docPr id="5" name="图片 5" descr="392fba74cf03bdebc31ca96e1908c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92fba74cf03bdebc31ca96e1908cc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before="100" w:line="224" w:lineRule="auto"/>
        <w:ind w:left="686" w:leftChars="0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  <w:r>
        <w:rPr>
          <w:rFonts w:hint="eastAsia" w:ascii="Times New Roman" w:hAnsi="Times New Roman" w:eastAsia="仿宋_GB2312" w:cs="Times New Roman"/>
          <w:b/>
          <w:bCs/>
          <w:spacing w:val="8"/>
          <w:sz w:val="31"/>
          <w:szCs w:val="31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一般公共预算财政拨款基本支出决算明细表</w:t>
      </w:r>
    </w:p>
    <w:p>
      <w:pPr>
        <w:pStyle w:val="2"/>
        <w:spacing w:line="340" w:lineRule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5289550" cy="4525010"/>
            <wp:effectExtent l="0" t="0" r="6350" b="8890"/>
            <wp:docPr id="6" name="图片 6" descr="289527ed0d97b5ecaa8bc57b0f2a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89527ed0d97b5ecaa8bc57b0f2a31a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1" w:line="224" w:lineRule="auto"/>
        <w:ind w:left="666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七、政府性基金预算财政拨款收入支出决算表</w:t>
      </w:r>
    </w:p>
    <w:p>
      <w:pPr>
        <w:pStyle w:val="2"/>
        <w:spacing w:line="271" w:lineRule="auto"/>
        <w:rPr>
          <w:rFonts w:hint="default" w:ascii="Times New Roman" w:hAnsi="Times New Roman" w:eastAsia="仿宋_GB2312" w:cs="Times New Roman"/>
        </w:rPr>
      </w:pPr>
    </w:p>
    <w:p>
      <w:pPr>
        <w:spacing w:before="101" w:line="364" w:lineRule="auto"/>
        <w:ind w:left="33" w:right="14" w:firstLine="641"/>
        <w:rPr>
          <w:rFonts w:hint="eastAsia" w:ascii="Times New Roman" w:hAnsi="Times New Roman" w:eastAsia="仿宋_GB2312" w:cs="Times New Roman"/>
          <w:color w:val="FF0000"/>
          <w:spacing w:val="-110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color w:val="FF0000"/>
          <w:spacing w:val="-110"/>
          <w:sz w:val="31"/>
          <w:szCs w:val="31"/>
          <w:lang w:eastAsia="zh-CN"/>
        </w:rPr>
        <w:drawing>
          <wp:inline distT="0" distB="0" distL="114300" distR="114300">
            <wp:extent cx="5290185" cy="1951990"/>
            <wp:effectExtent l="0" t="0" r="5715" b="10160"/>
            <wp:docPr id="7" name="图片 7" descr="61ea822a0b8b62323ab8281e57320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1ea822a0b8b62323ab8281e57320d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39" w:lineRule="auto"/>
        <w:ind w:firstLine="630" w:firstLineChars="700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pacing w:val="-11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1"/>
          <w:szCs w:val="31"/>
        </w:rPr>
        <w:t>本单位没有政府性基金预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1"/>
          <w:szCs w:val="31"/>
        </w:rPr>
        <w:t>算财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1"/>
          <w:szCs w:val="31"/>
        </w:rPr>
        <w:t>政拨款”。</w:t>
      </w:r>
    </w:p>
    <w:p>
      <w:pPr>
        <w:pStyle w:val="2"/>
        <w:spacing w:line="340" w:lineRule="auto"/>
        <w:rPr>
          <w:rFonts w:hint="default" w:ascii="Times New Roman" w:hAnsi="Times New Roman" w:eastAsia="仿宋_GB2312" w:cs="Times New Roman"/>
          <w:color w:val="auto"/>
        </w:rPr>
      </w:pPr>
    </w:p>
    <w:p>
      <w:pPr>
        <w:spacing w:before="101" w:line="224" w:lineRule="auto"/>
        <w:ind w:left="667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八、国有资本经营预算财政拨款支出决算表</w:t>
      </w:r>
    </w:p>
    <w:p>
      <w:pPr>
        <w:pStyle w:val="2"/>
        <w:spacing w:line="253" w:lineRule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5292725" cy="2712720"/>
            <wp:effectExtent l="0" t="0" r="3175" b="11430"/>
            <wp:docPr id="8" name="图片 8" descr="d0f57b6c549db3d13ec39b06dc074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0f57b6c549db3d13ec39b06dc074b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92725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39" w:lineRule="auto"/>
        <w:ind w:firstLine="636" w:firstLineChars="600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pacing w:val="-10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1"/>
          <w:szCs w:val="31"/>
        </w:rPr>
        <w:t>本单位没有国有资本经营预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</w:rPr>
        <w:t>算财政拨款”。</w:t>
      </w:r>
    </w:p>
    <w:p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>
      <w:pPr>
        <w:numPr>
          <w:ilvl w:val="0"/>
          <w:numId w:val="2"/>
        </w:numPr>
        <w:spacing w:before="101" w:line="224" w:lineRule="auto"/>
        <w:ind w:left="675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财政拨款“三公”经费支出决算表</w:t>
      </w:r>
    </w:p>
    <w:tbl>
      <w:tblPr>
        <w:tblStyle w:val="4"/>
        <w:tblpPr w:leftFromText="180" w:rightFromText="180" w:vertAnchor="text" w:horzAnchor="page" w:tblpX="1795" w:tblpY="605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698"/>
        <w:gridCol w:w="617"/>
        <w:gridCol w:w="617"/>
        <w:gridCol w:w="617"/>
        <w:gridCol w:w="377"/>
        <w:gridCol w:w="617"/>
        <w:gridCol w:w="698"/>
        <w:gridCol w:w="617"/>
        <w:gridCol w:w="617"/>
        <w:gridCol w:w="537"/>
        <w:gridCol w:w="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一般公共预算财政拨款“三公”经费支出决算表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公开09表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部门：党建工作办公室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单位：万元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5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349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9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9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购置费</w:t>
            </w:r>
          </w:p>
        </w:tc>
        <w:tc>
          <w:tcPr>
            <w:tcW w:w="3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运行维护费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购置费</w:t>
            </w:r>
          </w:p>
        </w:tc>
        <w:tc>
          <w:tcPr>
            <w:tcW w:w="3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运行维护费</w:t>
            </w: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43.34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40.84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21.96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18.88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29.12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26.62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19.16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7.46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>
      <w:pPr>
        <w:numPr>
          <w:numId w:val="0"/>
        </w:numPr>
        <w:spacing w:before="101" w:line="224" w:lineRule="auto"/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</w:pPr>
    </w:p>
    <w:p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>
      <w:pPr>
        <w:spacing w:before="100" w:line="224" w:lineRule="auto"/>
        <w:ind w:left="30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十、部门预算项目支出绩效自评表</w:t>
      </w:r>
    </w:p>
    <w:p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>
      <w:pPr>
        <w:pStyle w:val="2"/>
        <w:spacing w:line="261" w:lineRule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5334000" cy="6423660"/>
            <wp:effectExtent l="0" t="0" r="0" b="15240"/>
            <wp:docPr id="9" name="图片 9" descr="0f2eb4a009c82a56a5c53f373a9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f2eb4a009c82a56a5c53f373a9212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42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>
      <w:pPr>
        <w:spacing w:before="225" w:line="240" w:lineRule="auto"/>
        <w:ind w:left="482"/>
        <w:outlineLvl w:val="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position w:val="-2"/>
          <w:sz w:val="43"/>
          <w:szCs w:val="43"/>
        </w:rPr>
        <w:t>第三部分</w:t>
      </w:r>
      <w:r>
        <w:rPr>
          <w:rFonts w:hint="default" w:ascii="Times New Roman" w:hAnsi="Times New Roman" w:eastAsia="仿宋_GB2312" w:cs="Times New Roman"/>
          <w:b/>
          <w:bCs/>
          <w:spacing w:val="103"/>
          <w:position w:val="-2"/>
          <w:sz w:val="43"/>
          <w:szCs w:val="43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position w:val="-2"/>
          <w:sz w:val="43"/>
          <w:szCs w:val="43"/>
        </w:rPr>
        <w:t>2023年度部门决算情况说明</w:t>
      </w:r>
    </w:p>
    <w:p>
      <w:pPr>
        <w:spacing w:before="101" w:line="240" w:lineRule="auto"/>
        <w:ind w:left="67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一、收入支出决算总体情况说明</w:t>
      </w:r>
    </w:p>
    <w:p>
      <w:pPr>
        <w:spacing w:before="248" w:line="240" w:lineRule="auto"/>
        <w:ind w:left="36" w:right="113" w:firstLine="634"/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2023</w:t>
      </w:r>
      <w:r>
        <w:rPr>
          <w:rFonts w:hint="default" w:ascii="Times New Roman" w:hAnsi="Times New Roman" w:eastAsia="仿宋_GB2312" w:cs="Times New Roman"/>
          <w:spacing w:val="-2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年度收、支总计均为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443.81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万元。与</w:t>
      </w:r>
      <w:r>
        <w:rPr>
          <w:rFonts w:hint="default" w:ascii="Times New Roman" w:hAnsi="Times New Roman" w:eastAsia="仿宋_GB2312" w:cs="Times New Roman"/>
          <w:spacing w:val="-3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2022</w:t>
      </w:r>
      <w:r>
        <w:rPr>
          <w:rFonts w:hint="default" w:ascii="Times New Roman" w:hAnsi="Times New Roman" w:eastAsia="仿宋_GB2312" w:cs="Times New Roman"/>
          <w:spacing w:val="-3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年度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360.82万元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相比，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收、支总计各增加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82.99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万元，增长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%。主</w:t>
      </w:r>
      <w:r>
        <w:rPr>
          <w:rFonts w:hint="default" w:ascii="Times New Roman" w:hAnsi="Times New Roman" w:eastAsia="仿宋_GB2312" w:cs="Times New Roman"/>
          <w:spacing w:val="-10"/>
          <w:sz w:val="31"/>
          <w:szCs w:val="31"/>
        </w:rPr>
        <w:t>要原因：</w:t>
      </w:r>
      <w:r>
        <w:rPr>
          <w:rFonts w:hint="default" w:ascii="Times New Roman" w:hAnsi="Times New Roman" w:eastAsia="仿宋_GB2312" w:cs="Times New Roman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pacing w:val="-68"/>
          <w:sz w:val="31"/>
          <w:szCs w:val="31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spacing w:val="-10"/>
          <w:sz w:val="31"/>
          <w:szCs w:val="31"/>
          <w:lang w:eastAsia="zh-CN"/>
        </w:rPr>
        <w:t>在职人数增加；二是购买两辆公车等。</w:t>
      </w:r>
    </w:p>
    <w:p>
      <w:pPr>
        <w:pStyle w:val="2"/>
        <w:spacing w:line="240" w:lineRule="auto"/>
        <w:rPr>
          <w:rFonts w:hint="default" w:ascii="Times New Roman" w:hAnsi="Times New Roman" w:eastAsia="仿宋_GB2312" w:cs="Times New Roman"/>
        </w:rPr>
      </w:pPr>
    </w:p>
    <w:p>
      <w:pPr>
        <w:spacing w:before="50" w:line="240" w:lineRule="auto"/>
        <w:ind w:left="67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二、收入决算情况说明</w:t>
      </w:r>
    </w:p>
    <w:p>
      <w:pPr>
        <w:spacing w:before="248" w:line="240" w:lineRule="auto"/>
        <w:ind w:left="36" w:right="113" w:firstLine="634"/>
        <w:rPr>
          <w:rFonts w:hint="default" w:ascii="Times New Roman" w:hAnsi="Times New Roman" w:eastAsia="仿宋_GB2312" w:cs="Times New Roman"/>
          <w:spacing w:val="4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本年收入合计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443.81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万元，其中：财政拨款收入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443.81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万元，比上年增加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83.99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万元，增长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%，主要是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eastAsia="zh-CN"/>
        </w:rPr>
        <w:t>在职人数增加及购买两辆公车。</w:t>
      </w:r>
    </w:p>
    <w:p>
      <w:pPr>
        <w:spacing w:before="158" w:line="240" w:lineRule="auto"/>
        <w:ind w:left="67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三、支出决算情况说明</w:t>
      </w:r>
    </w:p>
    <w:p>
      <w:pPr>
        <w:spacing w:before="251" w:line="240" w:lineRule="auto"/>
        <w:ind w:left="21" w:firstLine="645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本年支出合计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443.81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万元，其中：基本支出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424.65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8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比上年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153.53万元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增加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271.12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万元，主要是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eastAsia="zh-CN"/>
        </w:rPr>
        <w:t>财政系统科目性质调整；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项目支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出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19.16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7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比上年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207.3万元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减少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188.14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万元，主</w:t>
      </w:r>
      <w:r>
        <w:rPr>
          <w:rFonts w:hint="default" w:ascii="Times New Roman" w:hAnsi="Times New Roman" w:eastAsia="仿宋_GB2312" w:cs="Times New Roman"/>
          <w:spacing w:val="-2"/>
          <w:sz w:val="31"/>
          <w:szCs w:val="31"/>
        </w:rPr>
        <w:t>要是</w:t>
      </w:r>
      <w:r>
        <w:rPr>
          <w:rFonts w:hint="eastAsia" w:ascii="Times New Roman" w:hAnsi="Times New Roman" w:eastAsia="仿宋_GB2312" w:cs="Times New Roman"/>
          <w:spacing w:val="-2"/>
          <w:sz w:val="31"/>
          <w:szCs w:val="31"/>
          <w:lang w:eastAsia="zh-CN"/>
        </w:rPr>
        <w:t>财政系统科目性质调整。</w:t>
      </w:r>
    </w:p>
    <w:p>
      <w:pPr>
        <w:spacing w:before="101" w:line="240" w:lineRule="auto"/>
        <w:ind w:left="68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四、财政拨款收入支出决算总体情况说明</w:t>
      </w:r>
    </w:p>
    <w:p>
      <w:pPr>
        <w:spacing w:before="248" w:line="240" w:lineRule="auto"/>
        <w:ind w:left="36" w:right="113" w:firstLine="634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2023</w:t>
      </w:r>
      <w:r>
        <w:rPr>
          <w:rFonts w:hint="default" w:ascii="Times New Roman" w:hAnsi="Times New Roman" w:eastAsia="仿宋_GB2312" w:cs="Times New Roman"/>
          <w:spacing w:val="-3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年度财政拨款收、支总计均为</w:t>
      </w:r>
      <w:r>
        <w:rPr>
          <w:rFonts w:hint="eastAsia" w:ascii="Times New Roman" w:hAnsi="Times New Roman" w:eastAsia="仿宋_GB2312" w:cs="Times New Roman"/>
          <w:spacing w:val="6"/>
          <w:sz w:val="31"/>
          <w:szCs w:val="31"/>
          <w:lang w:val="en-US" w:eastAsia="zh-CN"/>
        </w:rPr>
        <w:t>443.81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万元，与</w:t>
      </w:r>
      <w:r>
        <w:rPr>
          <w:rFonts w:hint="default" w:ascii="Times New Roman" w:hAnsi="Times New Roman" w:eastAsia="仿宋_GB2312" w:cs="Times New Roman"/>
          <w:spacing w:val="-3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2022</w:t>
      </w:r>
      <w:r>
        <w:rPr>
          <w:rFonts w:hint="default" w:ascii="Times New Roman" w:hAnsi="Times New Roman" w:eastAsia="仿宋_GB2312" w:cs="Times New Roman"/>
          <w:spacing w:val="-3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年</w:t>
      </w: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相比，财政拨款收、支总计增加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83.99</w:t>
      </w: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增长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%，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主要原因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eastAsia="zh-CN"/>
        </w:rPr>
        <w:t>在职人数增加及购买两辆公车。</w:t>
      </w:r>
    </w:p>
    <w:p>
      <w:pPr>
        <w:spacing w:before="101" w:line="240" w:lineRule="auto"/>
        <w:ind w:left="67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五、一般公共预算财政拨款支出决算情况说明</w:t>
      </w:r>
    </w:p>
    <w:p>
      <w:pPr>
        <w:spacing w:before="248" w:line="240" w:lineRule="auto"/>
        <w:ind w:left="662"/>
        <w:outlineLvl w:val="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-1"/>
          <w:sz w:val="31"/>
          <w:szCs w:val="31"/>
        </w:rPr>
        <w:t>（</w:t>
      </w:r>
      <w:r>
        <w:rPr>
          <w:rFonts w:hint="default" w:ascii="Times New Roman" w:hAnsi="Times New Roman" w:eastAsia="仿宋_GB2312" w:cs="Times New Roman"/>
          <w:spacing w:val="-6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1"/>
          <w:sz w:val="31"/>
          <w:szCs w:val="31"/>
        </w:rPr>
        <w:t>一</w:t>
      </w:r>
      <w:r>
        <w:rPr>
          <w:rFonts w:hint="default" w:ascii="Times New Roman" w:hAnsi="Times New Roman" w:eastAsia="仿宋_GB2312" w:cs="Times New Roman"/>
          <w:spacing w:val="-6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1"/>
          <w:sz w:val="31"/>
          <w:szCs w:val="31"/>
        </w:rPr>
        <w:t>）一般公共预算财政拨款支出决算总体情况</w:t>
      </w:r>
    </w:p>
    <w:p>
      <w:pPr>
        <w:spacing w:before="248" w:line="240" w:lineRule="auto"/>
        <w:ind w:left="36" w:right="113" w:firstLine="63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2023</w:t>
      </w:r>
      <w:r>
        <w:rPr>
          <w:rFonts w:hint="default" w:ascii="Times New Roman" w:hAnsi="Times New Roman" w:eastAsia="仿宋_GB2312" w:cs="Times New Roman"/>
          <w:spacing w:val="-5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年度一般公共预算财政拨款支出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443.81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万元，占本年支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出合计的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%。与 2022</w:t>
      </w:r>
      <w:r>
        <w:rPr>
          <w:rFonts w:hint="default" w:ascii="Times New Roman" w:hAnsi="Times New Roman" w:eastAsia="仿宋_GB2312" w:cs="Times New Roman"/>
          <w:spacing w:val="-5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年度相比，一般公共预算财政拨款支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增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eastAsia="zh-CN"/>
        </w:rPr>
        <w:t>加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83.99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万元，增长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%。主要原因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eastAsia="zh-CN"/>
        </w:rPr>
        <w:t>在职人数增加及购买两辆公车。</w:t>
      </w:r>
    </w:p>
    <w:p>
      <w:pPr>
        <w:spacing w:before="51" w:line="240" w:lineRule="auto"/>
        <w:ind w:left="659"/>
        <w:outlineLvl w:val="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4"/>
          <w:sz w:val="31"/>
          <w:szCs w:val="31"/>
        </w:rPr>
        <w:t>（二）</w:t>
      </w:r>
      <w:r>
        <w:rPr>
          <w:rFonts w:hint="default" w:ascii="Times New Roman" w:hAnsi="Times New Roman" w:eastAsia="仿宋_GB2312" w:cs="Times New Roman"/>
          <w:spacing w:val="-8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1"/>
          <w:szCs w:val="31"/>
        </w:rPr>
        <w:t>一般公共预算财政拨款支出决算结构情况</w:t>
      </w:r>
    </w:p>
    <w:p>
      <w:pPr>
        <w:spacing w:before="248" w:line="240" w:lineRule="auto"/>
        <w:ind w:left="36" w:right="113" w:firstLine="634"/>
        <w:rPr>
          <w:rFonts w:hint="default" w:ascii="Times New Roman" w:hAnsi="Times New Roman" w:eastAsia="仿宋_GB2312" w:cs="Times New Roman"/>
          <w:spacing w:val="4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 xml:space="preserve">2023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年度一般公共预算财政拨款支出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443.81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万元，主要用于以下方面：一般公共服务支出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410.1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 xml:space="preserve">万元，占 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92.4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%；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社会保障和就业支出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2.9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万元，占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0.65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%；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eastAsia="zh-CN"/>
        </w:rPr>
        <w:t>卫生健康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支出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7.86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万元，占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1.77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%；住房保障支出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22.96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万元，占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5.17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%；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eastAsia="zh-CN"/>
        </w:rPr>
        <w:t>其中基本支出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424.65万元，占95.68%，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项目支出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19.16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万元，占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4.32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%。</w:t>
      </w:r>
    </w:p>
    <w:p>
      <w:pPr>
        <w:spacing w:before="52" w:line="240" w:lineRule="auto"/>
        <w:ind w:left="659"/>
        <w:outlineLvl w:val="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4"/>
          <w:sz w:val="31"/>
          <w:szCs w:val="31"/>
        </w:rPr>
        <w:t>（三）</w:t>
      </w:r>
      <w:r>
        <w:rPr>
          <w:rFonts w:hint="default" w:ascii="Times New Roman" w:hAnsi="Times New Roman" w:eastAsia="仿宋_GB2312" w:cs="Times New Roman"/>
          <w:spacing w:val="-8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1"/>
          <w:szCs w:val="31"/>
        </w:rPr>
        <w:t>一般公共预算财政拨款支出决算具体情况</w:t>
      </w:r>
    </w:p>
    <w:p>
      <w:pPr>
        <w:spacing w:before="248" w:line="240" w:lineRule="auto"/>
        <w:ind w:left="38" w:right="86" w:firstLine="63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2023 年度一般公共预算财政拨款支出年初预算为</w:t>
      </w:r>
      <w:r>
        <w:rPr>
          <w:rFonts w:hint="eastAsia" w:ascii="Times New Roman" w:hAnsi="Times New Roman" w:eastAsia="仿宋_GB2312" w:cs="Times New Roman"/>
          <w:spacing w:val="12"/>
          <w:sz w:val="31"/>
          <w:szCs w:val="31"/>
          <w:lang w:val="en-US" w:eastAsia="zh-CN"/>
        </w:rPr>
        <w:t>443.81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万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元，支出决算为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443.81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万元，完成年初预算的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%。其中：</w:t>
      </w:r>
    </w:p>
    <w:p>
      <w:pPr>
        <w:spacing w:before="54" w:line="240" w:lineRule="auto"/>
        <w:ind w:left="30" w:firstLine="66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1.一般公共服务（类）</w:t>
      </w:r>
      <w:r>
        <w:rPr>
          <w:rFonts w:hint="default" w:ascii="Times New Roman" w:hAnsi="Times New Roman" w:eastAsia="仿宋_GB2312" w:cs="Times New Roman"/>
          <w:spacing w:val="-4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财政事务（款）</w:t>
      </w:r>
      <w:r>
        <w:rPr>
          <w:rFonts w:hint="default" w:ascii="Times New Roman" w:hAnsi="Times New Roman" w:eastAsia="仿宋_GB2312" w:cs="Times New Roman"/>
          <w:spacing w:val="-6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行政运行（项）</w:t>
      </w:r>
      <w:r>
        <w:rPr>
          <w:rFonts w:hint="default" w:ascii="Times New Roman" w:hAnsi="Times New Roman" w:eastAsia="仿宋_GB2312" w:cs="Times New Roman"/>
          <w:spacing w:val="-8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。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</w:rPr>
        <w:t>年初预算为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410.1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7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</w:rPr>
        <w:t>支出决算为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410.1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6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</w:rPr>
        <w:t>完成年初预算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的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%。</w:t>
      </w:r>
    </w:p>
    <w:p>
      <w:pPr>
        <w:spacing w:before="52" w:line="240" w:lineRule="auto"/>
        <w:ind w:left="34" w:right="98" w:firstLine="636"/>
        <w:rPr>
          <w:rFonts w:hint="default" w:ascii="Times New Roman" w:hAnsi="Times New Roman" w:eastAsia="仿宋_GB2312" w:cs="Times New Roman"/>
          <w:spacing w:val="13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 xml:space="preserve">2. 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社会保障和就业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eastAsia="zh-CN"/>
        </w:rPr>
        <w:t>年初预算为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2.9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13"/>
          <w:sz w:val="31"/>
          <w:szCs w:val="31"/>
        </w:rPr>
        <w:t>支出决算为</w:t>
      </w:r>
      <w:r>
        <w:rPr>
          <w:rFonts w:hint="eastAsia" w:ascii="Times New Roman" w:hAnsi="Times New Roman" w:eastAsia="仿宋_GB2312" w:cs="Times New Roman"/>
          <w:spacing w:val="13"/>
          <w:sz w:val="31"/>
          <w:szCs w:val="31"/>
          <w:lang w:val="en-US" w:eastAsia="zh-CN"/>
        </w:rPr>
        <w:t>2.9</w:t>
      </w:r>
      <w:r>
        <w:rPr>
          <w:rFonts w:hint="default" w:ascii="Times New Roman" w:hAnsi="Times New Roman" w:eastAsia="仿宋_GB2312" w:cs="Times New Roman"/>
          <w:spacing w:val="13"/>
          <w:sz w:val="31"/>
          <w:szCs w:val="31"/>
        </w:rPr>
        <w:t>万元，完成年初预算的</w:t>
      </w:r>
      <w:r>
        <w:rPr>
          <w:rFonts w:hint="eastAsia" w:ascii="Times New Roman" w:hAnsi="Times New Roman" w:eastAsia="仿宋_GB2312" w:cs="Times New Roman"/>
          <w:spacing w:val="13"/>
          <w:sz w:val="31"/>
          <w:szCs w:val="3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13"/>
          <w:sz w:val="31"/>
          <w:szCs w:val="31"/>
        </w:rPr>
        <w:t>%。</w:t>
      </w:r>
    </w:p>
    <w:p>
      <w:pPr>
        <w:spacing w:before="52" w:line="240" w:lineRule="auto"/>
        <w:ind w:left="34" w:right="98" w:firstLine="636"/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3.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卫生健康类年初预算为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7.86万元，支出决算为7.86万元，完成年初预算的100%。</w:t>
      </w:r>
    </w:p>
    <w:p>
      <w:pPr>
        <w:spacing w:before="52" w:line="240" w:lineRule="auto"/>
        <w:ind w:left="34" w:right="98" w:firstLine="636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住房保障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eastAsia="zh-CN"/>
        </w:rPr>
        <w:t>类年初预算为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22.96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eastAsia="zh-CN"/>
        </w:rPr>
        <w:t>支出决算为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22.96万元，完成年初预算的100%。</w:t>
      </w:r>
    </w:p>
    <w:p>
      <w:pPr>
        <w:spacing w:before="101" w:line="240" w:lineRule="auto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六、一般公共预算财政拨款基本支出决算情况说明</w:t>
      </w:r>
    </w:p>
    <w:p>
      <w:pPr>
        <w:spacing w:before="247" w:line="240" w:lineRule="auto"/>
        <w:ind w:left="64" w:right="96" w:firstLine="607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2023年度一般公共预算财政拨款基本支出</w:t>
      </w:r>
      <w:r>
        <w:rPr>
          <w:rFonts w:hint="eastAsia" w:ascii="Times New Roman" w:hAnsi="Times New Roman" w:eastAsia="仿宋_GB2312" w:cs="Times New Roman"/>
          <w:spacing w:val="12"/>
          <w:sz w:val="31"/>
          <w:szCs w:val="31"/>
          <w:lang w:val="en-US" w:eastAsia="zh-CN"/>
        </w:rPr>
        <w:t>424.65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万元，其</w:t>
      </w:r>
      <w:r>
        <w:rPr>
          <w:rFonts w:hint="default" w:ascii="Times New Roman" w:hAnsi="Times New Roman" w:eastAsia="仿宋_GB2312" w:cs="Times New Roman"/>
          <w:spacing w:val="-30"/>
          <w:sz w:val="31"/>
          <w:szCs w:val="31"/>
        </w:rPr>
        <w:t>中：</w:t>
      </w:r>
    </w:p>
    <w:p>
      <w:pPr>
        <w:spacing w:before="53" w:line="240" w:lineRule="auto"/>
        <w:ind w:left="29" w:right="98" w:firstLine="643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人员经费</w:t>
      </w:r>
      <w:r>
        <w:rPr>
          <w:rFonts w:hint="eastAsia" w:ascii="Times New Roman" w:hAnsi="Times New Roman" w:eastAsia="仿宋_GB2312" w:cs="Times New Roman"/>
          <w:b/>
          <w:bCs/>
          <w:spacing w:val="7"/>
          <w:sz w:val="31"/>
          <w:szCs w:val="31"/>
          <w:lang w:val="en-US" w:eastAsia="zh-CN"/>
        </w:rPr>
        <w:t>152.17</w:t>
      </w: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万元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，主要包括：基本工资、津贴补贴、奖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金、伙食补助费、绩效工资、机关事业单位基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本养老保险缴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费、职业年金缴费、职工基本医疗保险缴费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、公务员医疗补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助缴费、其他社会保障缴费、住房公积金、医疗费、</w:t>
      </w:r>
      <w:r>
        <w:rPr>
          <w:rFonts w:hint="default" w:ascii="Times New Roman" w:hAnsi="Times New Roman" w:eastAsia="仿宋_GB2312" w:cs="Times New Roman"/>
          <w:spacing w:val="-5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其他工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资福利支出、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生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活补助、医疗费补助、奖励金、代缴社会保险费和其他对个人和家庭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的补助。</w:t>
      </w:r>
    </w:p>
    <w:p>
      <w:pPr>
        <w:spacing w:before="53" w:line="240" w:lineRule="auto"/>
        <w:ind w:left="29" w:right="98" w:firstLine="643"/>
        <w:jc w:val="both"/>
        <w:rPr>
          <w:rFonts w:hint="default" w:ascii="Times New Roman" w:hAnsi="Times New Roman" w:eastAsia="仿宋_GB2312" w:cs="Times New Roman"/>
          <w:spacing w:val="8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公用经费</w:t>
      </w:r>
      <w:r>
        <w:rPr>
          <w:rFonts w:hint="eastAsia" w:ascii="Times New Roman" w:hAnsi="Times New Roman" w:eastAsia="仿宋_GB2312" w:cs="Times New Roman"/>
          <w:b/>
          <w:bCs/>
          <w:spacing w:val="8"/>
          <w:sz w:val="31"/>
          <w:szCs w:val="31"/>
          <w:lang w:val="en-US" w:eastAsia="zh-CN"/>
        </w:rPr>
        <w:t>238.76</w:t>
      </w: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主要包括：办公费、印刷费、取暖费、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差旅费、因公出国（境）费、维修（护）费、 会议费、培训费、公务接待费、劳务费、委托业务费、公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务用车运行维护费、其他交通费用、税金及附加费用、其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他商品和服务支出、办公设备购置</w:t>
      </w:r>
    </w:p>
    <w:p>
      <w:pPr>
        <w:spacing w:before="101" w:line="240" w:lineRule="auto"/>
        <w:ind w:left="505" w:firstLine="328" w:firstLineChars="10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七、政府性基金预算财政拨款收入支出决算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情况说明</w:t>
      </w:r>
    </w:p>
    <w:p>
      <w:pPr>
        <w:spacing w:before="250" w:line="240" w:lineRule="auto"/>
        <w:ind w:left="34" w:right="158" w:firstLine="639"/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pacing w:val="33"/>
          <w:sz w:val="31"/>
          <w:szCs w:val="31"/>
        </w:rPr>
        <w:t>2023 年度政府性基金预算财政拨款年初结转和结余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万元；本年收入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。</w:t>
      </w:r>
    </w:p>
    <w:p>
      <w:pPr>
        <w:spacing w:before="158" w:line="240" w:lineRule="auto"/>
        <w:ind w:left="74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八、国有资本经营预算财政拨款支出决算情况说明</w:t>
      </w:r>
    </w:p>
    <w:p>
      <w:pPr>
        <w:spacing w:before="248" w:line="240" w:lineRule="auto"/>
        <w:ind w:left="67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2023 年度国有资本经营预算年初结转和结余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万元；</w:t>
      </w:r>
    </w:p>
    <w:p>
      <w:pPr>
        <w:pStyle w:val="2"/>
        <w:spacing w:line="240" w:lineRule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5"/>
          <w:sz w:val="31"/>
          <w:szCs w:val="31"/>
        </w:rPr>
        <w:t>本年收入</w:t>
      </w:r>
      <w:r>
        <w:rPr>
          <w:rFonts w:hint="eastAsia" w:ascii="Times New Roman" w:hAnsi="Times New Roman" w:eastAsia="仿宋_GB2312" w:cs="Times New Roman"/>
          <w:spacing w:val="-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sz w:val="31"/>
          <w:szCs w:val="31"/>
        </w:rPr>
        <w:t>万元</w:t>
      </w:r>
      <w:r>
        <w:rPr>
          <w:rFonts w:hint="eastAsia" w:ascii="Times New Roman" w:hAnsi="Times New Roman" w:eastAsia="仿宋_GB2312" w:cs="Times New Roman"/>
          <w:spacing w:val="-5"/>
          <w:sz w:val="31"/>
          <w:szCs w:val="31"/>
          <w:lang w:eastAsia="zh-CN"/>
        </w:rPr>
        <w:t>。</w:t>
      </w:r>
    </w:p>
    <w:p>
      <w:pPr>
        <w:pStyle w:val="2"/>
        <w:spacing w:line="240" w:lineRule="auto"/>
        <w:rPr>
          <w:rFonts w:hint="default" w:ascii="Times New Roman" w:hAnsi="Times New Roman" w:eastAsia="仿宋_GB2312" w:cs="Times New Roman"/>
        </w:rPr>
      </w:pPr>
    </w:p>
    <w:p>
      <w:pPr>
        <w:spacing w:before="101" w:line="240" w:lineRule="auto"/>
        <w:ind w:left="67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九、财政拨款“三公”经费支出决算情况说明</w:t>
      </w:r>
    </w:p>
    <w:p>
      <w:pPr>
        <w:spacing w:before="249" w:line="240" w:lineRule="auto"/>
        <w:ind w:left="65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（</w:t>
      </w:r>
      <w:r>
        <w:rPr>
          <w:rFonts w:hint="default" w:ascii="Times New Roman" w:hAnsi="Times New Roman" w:eastAsia="仿宋_GB2312" w:cs="Times New Roman"/>
          <w:spacing w:val="-6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一）“三公”经费财政拨款支出决算总体情况说明</w:t>
      </w:r>
    </w:p>
    <w:p>
      <w:pPr>
        <w:spacing w:before="156" w:line="240" w:lineRule="auto"/>
        <w:ind w:left="41" w:firstLine="649" w:firstLineChars="211"/>
        <w:jc w:val="both"/>
        <w:rPr>
          <w:rFonts w:hint="default" w:ascii="Times New Roman" w:hAnsi="Times New Roman" w:eastAsia="仿宋_GB2312" w:cs="Times New Roman"/>
          <w:spacing w:val="-1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2023 年度“三公”经费财政拨款支出预算为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43.34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万元，支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出决算为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29.12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万元，完成预算的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67.19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 xml:space="preserve">%；较 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 xml:space="preserve">2022 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年度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12.92万元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增加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16.2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万元，主要原因是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eastAsia="zh-CN"/>
        </w:rPr>
        <w:t>购买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2辆公车及出国一次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。决算数小于预算数的主要原因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eastAsia="zh-CN"/>
        </w:rPr>
        <w:t>为节约开支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。</w:t>
      </w:r>
    </w:p>
    <w:p>
      <w:pPr>
        <w:spacing w:before="50" w:line="240" w:lineRule="auto"/>
        <w:ind w:left="65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（二）“三公”经费财政拨款支出决算具体情况说明</w:t>
      </w:r>
    </w:p>
    <w:p>
      <w:pPr>
        <w:spacing w:before="156" w:line="240" w:lineRule="auto"/>
        <w:ind w:left="41" w:firstLine="649" w:firstLineChars="211"/>
        <w:jc w:val="both"/>
        <w:rPr>
          <w:rFonts w:hint="default" w:ascii="Times New Roman" w:hAnsi="Times New Roman" w:eastAsia="仿宋_GB2312" w:cs="Times New Roman"/>
          <w:spacing w:val="-1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1.因公出国（境）费预算为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万元,支出决算为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万元，完成预算的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%；全年共有因公出国（境） 团组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个， 因公 出国（境）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人次。</w:t>
      </w:r>
    </w:p>
    <w:p>
      <w:pPr>
        <w:spacing w:before="57" w:line="240" w:lineRule="auto"/>
        <w:ind w:left="23" w:right="156" w:firstLine="648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2.公务用车购置及运行费预算为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40.84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万元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</w:rPr>
        <w:t>，支出决算为</w:t>
      </w:r>
      <w:r>
        <w:rPr>
          <w:rFonts w:hint="eastAsia" w:ascii="Times New Roman" w:hAnsi="Times New Roman" w:eastAsia="仿宋_GB2312" w:cs="Times New Roman"/>
          <w:spacing w:val="20"/>
          <w:sz w:val="31"/>
          <w:szCs w:val="31"/>
          <w:lang w:val="en-US" w:eastAsia="zh-CN"/>
        </w:rPr>
        <w:t>26.62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万元，完成预算的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%；较</w:t>
      </w:r>
      <w:r>
        <w:rPr>
          <w:rFonts w:hint="default" w:ascii="Times New Roman" w:hAnsi="Times New Roman" w:eastAsia="仿宋_GB2312" w:cs="Times New Roman"/>
          <w:spacing w:val="-5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2022</w:t>
      </w:r>
      <w:r>
        <w:rPr>
          <w:rFonts w:hint="default" w:ascii="Times New Roman" w:hAnsi="Times New Roman" w:eastAsia="仿宋_GB2312" w:cs="Times New Roman"/>
          <w:spacing w:val="-6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年度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12.92万元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13.7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主要原因</w:t>
      </w:r>
      <w:r>
        <w:rPr>
          <w:rFonts w:hint="eastAsia" w:ascii="Times New Roman" w:hAnsi="Times New Roman" w:eastAsia="仿宋_GB2312" w:cs="Times New Roman"/>
          <w:spacing w:val="6"/>
          <w:sz w:val="31"/>
          <w:szCs w:val="31"/>
          <w:lang w:eastAsia="zh-CN"/>
        </w:rPr>
        <w:t>为购买公车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。决算数小于预算数</w:t>
      </w: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的主要原因</w:t>
      </w:r>
      <w:r>
        <w:rPr>
          <w:rFonts w:hint="eastAsia" w:ascii="Times New Roman" w:hAnsi="Times New Roman" w:eastAsia="仿宋_GB2312" w:cs="Times New Roman"/>
          <w:spacing w:val="-9"/>
          <w:sz w:val="31"/>
          <w:szCs w:val="31"/>
          <w:lang w:eastAsia="zh-CN"/>
        </w:rPr>
        <w:t>为节约开支</w:t>
      </w: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。其中：</w:t>
      </w:r>
    </w:p>
    <w:p>
      <w:pPr>
        <w:spacing w:before="57" w:line="240" w:lineRule="auto"/>
        <w:ind w:left="23" w:right="156" w:firstLine="648"/>
        <w:rPr>
          <w:rFonts w:hint="default" w:ascii="Times New Roman" w:hAnsi="Times New Roman" w:eastAsia="仿宋_GB2312" w:cs="Times New Roman"/>
          <w:spacing w:val="21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公务用车购置费支出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19.16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万元。主要是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购买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2辆新能源汽车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；截至2023年12月31日，公务用车保有量为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辆,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本年度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公务用车购置数为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辆。</w:t>
      </w:r>
    </w:p>
    <w:p>
      <w:pPr>
        <w:spacing w:before="57" w:line="240" w:lineRule="auto"/>
        <w:ind w:left="23" w:right="156" w:firstLine="648"/>
        <w:rPr>
          <w:rFonts w:hint="default" w:ascii="Times New Roman" w:hAnsi="Times New Roman" w:eastAsia="仿宋_GB2312" w:cs="Times New Roman"/>
          <w:spacing w:val="21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公务用车运行维护费支出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7.46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万元，主要是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用于车辆保险、维修、汽油等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。</w:t>
      </w:r>
    </w:p>
    <w:p>
      <w:pPr>
        <w:spacing w:before="57" w:line="240" w:lineRule="auto"/>
        <w:ind w:left="23" w:right="156" w:firstLine="648"/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公务接待费预算为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万元，支出决算为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万元，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本年度无公务接待。</w:t>
      </w:r>
    </w:p>
    <w:p>
      <w:pPr>
        <w:spacing w:before="101" w:line="240" w:lineRule="auto"/>
        <w:ind w:left="750"/>
        <w:outlineLvl w:val="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十、关于</w:t>
      </w:r>
      <w:r>
        <w:rPr>
          <w:rFonts w:hint="default" w:ascii="Times New Roman" w:hAnsi="Times New Roman" w:eastAsia="仿宋_GB2312" w:cs="Times New Roman"/>
          <w:spacing w:val="-5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2023</w:t>
      </w:r>
      <w:r>
        <w:rPr>
          <w:rFonts w:hint="default" w:ascii="Times New Roman" w:hAnsi="Times New Roman" w:eastAsia="仿宋_GB2312" w:cs="Times New Roman"/>
          <w:spacing w:val="-6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年度绩效评价情况说明</w:t>
      </w:r>
    </w:p>
    <w:p>
      <w:pPr>
        <w:spacing w:before="57" w:line="240" w:lineRule="auto"/>
        <w:ind w:left="23" w:right="156" w:firstLine="648"/>
        <w:rPr>
          <w:rFonts w:hint="default" w:ascii="Times New Roman" w:hAnsi="Times New Roman" w:eastAsia="仿宋_GB2312" w:cs="Times New Roman"/>
          <w:spacing w:val="21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（ 一）绩效评价工作开展情况</w:t>
      </w:r>
    </w:p>
    <w:p>
      <w:pPr>
        <w:spacing w:before="57" w:line="240" w:lineRule="auto"/>
        <w:ind w:left="23" w:right="156" w:firstLine="648"/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根据预算绩效管理要求，本部门组织对 2023年度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临聘人员经费一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个项目开展了部门绩效评价，涉及一般公共预算支出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190.12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万元，从评价情况来看，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我部门较好地完成了此项目支出。</w:t>
      </w:r>
    </w:p>
    <w:p>
      <w:pPr>
        <w:spacing w:before="253" w:line="240" w:lineRule="auto"/>
        <w:ind w:left="36" w:right="22" w:firstLine="62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4"/>
          <w:sz w:val="31"/>
          <w:szCs w:val="31"/>
        </w:rPr>
        <w:t>（二）</w:t>
      </w:r>
      <w:r>
        <w:rPr>
          <w:rFonts w:hint="default" w:ascii="Times New Roman" w:hAnsi="Times New Roman" w:eastAsia="仿宋_GB2312" w:cs="Times New Roman"/>
          <w:spacing w:val="-6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1"/>
          <w:szCs w:val="31"/>
        </w:rPr>
        <w:t>项目绩效自评结果（如有）。</w:t>
      </w:r>
    </w:p>
    <w:p>
      <w:pPr>
        <w:spacing w:before="57" w:line="240" w:lineRule="auto"/>
        <w:ind w:left="23" w:right="156" w:firstLine="648"/>
        <w:rPr>
          <w:rFonts w:hint="default" w:ascii="Times New Roman" w:hAnsi="Times New Roman" w:eastAsia="仿宋_GB2312" w:cs="Times New Roman"/>
          <w:spacing w:val="21"/>
          <w:sz w:val="31"/>
          <w:szCs w:val="31"/>
        </w:rPr>
      </w:pP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公车购置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 xml:space="preserve">项目绩效自评情况：根据年初设定的绩效目标，项目绩效自评得分为 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94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分。项目全年预算数为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260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万元，执行数为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190.12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万元，完成预算的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73.12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%。项目绩效目标完成情况：一是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及时发放工资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；二是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提升公共服务水平，提高业务效率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。</w:t>
      </w:r>
    </w:p>
    <w:p>
      <w:pPr>
        <w:numPr>
          <w:ilvl w:val="0"/>
          <w:numId w:val="3"/>
        </w:numPr>
        <w:spacing w:line="240" w:lineRule="auto"/>
        <w:ind w:firstLine="636" w:firstLineChars="200"/>
        <w:rPr>
          <w:rFonts w:hint="default" w:ascii="Times New Roman" w:hAnsi="Times New Roman" w:eastAsia="仿宋_GB2312" w:cs="Times New Roman"/>
          <w:spacing w:val="4"/>
          <w:sz w:val="31"/>
          <w:szCs w:val="31"/>
        </w:rPr>
      </w:pPr>
    </w:p>
    <w:p>
      <w:pPr>
        <w:spacing w:before="57" w:line="240" w:lineRule="auto"/>
        <w:ind w:left="23" w:right="156" w:firstLine="648"/>
        <w:rPr>
          <w:rFonts w:hint="default" w:ascii="Times New Roman" w:hAnsi="Times New Roman" w:eastAsia="仿宋_GB2312" w:cs="Times New Roman"/>
          <w:spacing w:val="21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我部门绩效评价结果应用情况如下：部门预算项目单位自评、部门评价、转移支付绩效自评等评价结果应用情况，如项目管理、政策调整、资金分配及结果公开等方面内容。</w:t>
      </w:r>
    </w:p>
    <w:p>
      <w:pPr>
        <w:spacing w:before="57" w:line="240" w:lineRule="auto"/>
        <w:ind w:left="23" w:right="156" w:firstLine="648"/>
        <w:rPr>
          <w:rFonts w:hint="default" w:ascii="Times New Roman" w:hAnsi="Times New Roman" w:eastAsia="仿宋_GB2312" w:cs="Times New Roman"/>
          <w:spacing w:val="21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pacing w:val="21"/>
          <w:sz w:val="31"/>
          <w:szCs w:val="31"/>
          <w:lang w:eastAsia="zh-CN"/>
        </w:rPr>
        <w:t>十一、其他重要事项情况说明</w:t>
      </w:r>
    </w:p>
    <w:p>
      <w:pPr>
        <w:spacing w:before="57" w:line="240" w:lineRule="auto"/>
        <w:ind w:left="23" w:right="156" w:firstLine="648"/>
        <w:rPr>
          <w:rFonts w:hint="default" w:ascii="Times New Roman" w:hAnsi="Times New Roman" w:eastAsia="仿宋_GB2312" w:cs="Times New Roman"/>
          <w:spacing w:val="21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pacing w:val="21"/>
          <w:sz w:val="31"/>
          <w:szCs w:val="31"/>
          <w:lang w:eastAsia="zh-CN"/>
        </w:rPr>
        <w:t>（ 一）机关运行经费执行情况说明</w:t>
      </w:r>
    </w:p>
    <w:p>
      <w:pPr>
        <w:spacing w:before="57" w:line="240" w:lineRule="auto"/>
        <w:ind w:left="23" w:right="156" w:firstLine="648"/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年度，机关运行经费支出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238.76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万元，比年初预算数减少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76.32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万元，主要原因为节约开支。</w:t>
      </w:r>
    </w:p>
    <w:p>
      <w:pPr>
        <w:spacing w:before="57" w:line="240" w:lineRule="auto"/>
        <w:ind w:left="23" w:right="156" w:firstLine="648"/>
        <w:rPr>
          <w:rFonts w:hint="default" w:ascii="Times New Roman" w:hAnsi="Times New Roman" w:eastAsia="仿宋_GB2312" w:cs="Times New Roman"/>
          <w:spacing w:val="21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pacing w:val="21"/>
          <w:sz w:val="31"/>
          <w:szCs w:val="31"/>
          <w:lang w:eastAsia="zh-CN"/>
        </w:rPr>
        <w:t>（二）政府采购支出情况说明</w:t>
      </w:r>
    </w:p>
    <w:p>
      <w:pPr>
        <w:spacing w:before="57" w:line="240" w:lineRule="auto"/>
        <w:ind w:left="23" w:right="156" w:firstLine="648"/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年度，政府采购支出总额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19.16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万元，主要用于购置公务用车。</w:t>
      </w:r>
    </w:p>
    <w:p>
      <w:pPr>
        <w:spacing w:before="57" w:line="240" w:lineRule="auto"/>
        <w:ind w:left="23" w:right="156" w:firstLine="648"/>
        <w:rPr>
          <w:rFonts w:hint="default" w:ascii="Times New Roman" w:hAnsi="Times New Roman" w:eastAsia="仿宋_GB2312" w:cs="Times New Roman"/>
          <w:spacing w:val="21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pacing w:val="21"/>
          <w:sz w:val="31"/>
          <w:szCs w:val="31"/>
          <w:lang w:eastAsia="zh-CN"/>
        </w:rPr>
        <w:t>（三）国有资产占用情况说明</w:t>
      </w:r>
    </w:p>
    <w:p>
      <w:pPr>
        <w:spacing w:before="57" w:line="240" w:lineRule="auto"/>
        <w:ind w:left="23" w:right="156" w:firstLine="648"/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截至202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年12月31日，综保区党建工作办公室共有车辆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辆，其中，其他用车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辆，其他用车主要是调研接待用车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单位价值50万元以上通用设备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台；单位价值100万元以上专用设备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eastAsia="zh-CN"/>
        </w:rPr>
        <w:t>台。</w:t>
      </w:r>
    </w:p>
    <w:p>
      <w:pPr>
        <w:spacing w:before="225" w:line="240" w:lineRule="auto"/>
        <w:ind w:left="2186"/>
        <w:outlineLvl w:val="0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pacing w:val="-4"/>
          <w:position w:val="-2"/>
          <w:sz w:val="44"/>
          <w:szCs w:val="44"/>
        </w:rPr>
        <w:t>第四部分</w:t>
      </w:r>
      <w:r>
        <w:rPr>
          <w:rFonts w:hint="default" w:ascii="Times New Roman" w:hAnsi="Times New Roman" w:eastAsia="仿宋_GB2312" w:cs="Times New Roman"/>
          <w:spacing w:val="24"/>
          <w:position w:val="-2"/>
          <w:sz w:val="44"/>
          <w:szCs w:val="44"/>
        </w:rPr>
        <w:t xml:space="preserve">   </w:t>
      </w:r>
      <w:r>
        <w:rPr>
          <w:rFonts w:hint="default" w:ascii="Times New Roman" w:hAnsi="Times New Roman" w:eastAsia="仿宋_GB2312" w:cs="Times New Roman"/>
          <w:spacing w:val="-4"/>
          <w:position w:val="-2"/>
          <w:sz w:val="44"/>
          <w:szCs w:val="44"/>
        </w:rPr>
        <w:t>名词解释</w:t>
      </w:r>
    </w:p>
    <w:p>
      <w:pPr>
        <w:pStyle w:val="2"/>
        <w:spacing w:line="240" w:lineRule="auto"/>
        <w:rPr>
          <w:rFonts w:hint="default" w:ascii="Times New Roman" w:hAnsi="Times New Roman" w:eastAsia="仿宋_GB2312" w:cs="Times New Roman"/>
        </w:rPr>
      </w:pPr>
    </w:p>
    <w:p>
      <w:pPr>
        <w:spacing w:before="100" w:line="240" w:lineRule="auto"/>
        <w:ind w:left="39" w:right="13" w:firstLine="65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一、财政拨款收入：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指单位从同级财政部门取得的财政</w:t>
      </w:r>
      <w:r>
        <w:rPr>
          <w:rFonts w:hint="default" w:ascii="Times New Roman" w:hAnsi="Times New Roman" w:eastAsia="仿宋_GB2312" w:cs="Times New Roman"/>
          <w:spacing w:val="1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预算资金。</w:t>
      </w:r>
    </w:p>
    <w:p>
      <w:pPr>
        <w:spacing w:before="250" w:line="240" w:lineRule="auto"/>
        <w:ind w:left="30" w:right="13" w:firstLine="65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二、上级补助收入：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指从主管部门和上级单位取得的非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财政补助收入。</w:t>
      </w:r>
    </w:p>
    <w:p>
      <w:pPr>
        <w:spacing w:before="249" w:line="240" w:lineRule="auto"/>
        <w:ind w:left="44" w:right="18" w:firstLine="649"/>
        <w:outlineLvl w:val="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4"/>
          <w:sz w:val="31"/>
          <w:szCs w:val="31"/>
        </w:rPr>
        <w:t>三、事业收入：指事业单位开展专业业务活动及辅助活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1"/>
          <w:szCs w:val="31"/>
        </w:rPr>
        <w:t>动取得的收入。</w:t>
      </w:r>
    </w:p>
    <w:p>
      <w:pPr>
        <w:spacing w:before="249" w:line="240" w:lineRule="auto"/>
        <w:ind w:left="44" w:right="16" w:firstLine="66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四、经营收入：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指事业单位在专业业务活动及其辅助活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动之外开展非独立核算经营活动取得的收入。</w:t>
      </w:r>
    </w:p>
    <w:p>
      <w:pPr>
        <w:spacing w:before="249" w:line="240" w:lineRule="auto"/>
        <w:ind w:left="28" w:right="13" w:firstLine="65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五、附属单位上缴收入：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指事业单位附属独立核算单位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按照有关规定上缴的收入。</w:t>
      </w:r>
    </w:p>
    <w:p>
      <w:pPr>
        <w:spacing w:before="246" w:line="240" w:lineRule="auto"/>
        <w:ind w:left="29" w:right="14" w:firstLine="654"/>
        <w:rPr>
          <w:rFonts w:hint="default" w:ascii="Times New Roman" w:hAnsi="Times New Roman" w:eastAsia="仿宋_GB2312" w:cs="Times New Roman"/>
          <w:b/>
          <w:bCs/>
          <w:spacing w:val="5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六、其他收入：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指除上述收入以外的各项收入。包括未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纳入财政预算或财政专户管理的投资收益、银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行存款利息收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入、租金收入、捐赠收入，现金盘盈收入、存货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盘盈收入、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收回已核销应收及预付款项、无法偿付的应付及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预收款项，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从省财政以外的同级单位取得的经费、从非省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财政取得的经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费，以及行政单位收到的财政专户管理资金等。</w:t>
      </w:r>
    </w:p>
    <w:p>
      <w:pPr>
        <w:spacing w:before="252" w:line="240" w:lineRule="auto"/>
        <w:ind w:left="28" w:right="10" w:firstLine="64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1"/>
          <w:szCs w:val="31"/>
        </w:rPr>
        <w:t>七、使用非财政拨款结余（含专用结余</w:t>
      </w:r>
      <w:r>
        <w:rPr>
          <w:rFonts w:hint="default" w:ascii="Times New Roman" w:hAnsi="Times New Roman" w:eastAsia="仿宋_GB2312" w:cs="Times New Roman"/>
          <w:b/>
          <w:bCs/>
          <w:spacing w:val="16"/>
          <w:sz w:val="31"/>
          <w:szCs w:val="31"/>
        </w:rPr>
        <w:t>）：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指事业单位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按照预算管理要求使用非财政拨款结余弥补收支差额的金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额，以及使用专用结余安排支出的金额。</w:t>
      </w:r>
    </w:p>
    <w:p>
      <w:pPr>
        <w:spacing w:before="249" w:line="240" w:lineRule="auto"/>
        <w:ind w:right="13"/>
        <w:jc w:val="right"/>
        <w:rPr>
          <w:rFonts w:hint="default" w:ascii="Times New Roman" w:hAnsi="Times New Roman" w:eastAsia="仿宋_GB2312" w:cs="Times New Roman"/>
          <w:spacing w:val="7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八、年初结转和结余：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指单位以前年度尚未完成、结转</w:t>
      </w:r>
    </w:p>
    <w:p>
      <w:pPr>
        <w:spacing w:before="160" w:line="240" w:lineRule="auto"/>
        <w:ind w:right="18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到本年按有关规定用途继续使用的资金，或项目已完成等产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sz w:val="31"/>
          <w:szCs w:val="31"/>
        </w:rPr>
        <w:t>生的结余资金。</w:t>
      </w:r>
    </w:p>
    <w:p>
      <w:pPr>
        <w:spacing w:before="48" w:line="240" w:lineRule="auto"/>
        <w:ind w:left="32" w:right="155" w:firstLine="64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九、结余分配：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指事业单位按照会计制度规定缴纳的所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得税、提取的专用结余以及转入非财政拨款结余的金额等。</w:t>
      </w:r>
    </w:p>
    <w:p>
      <w:pPr>
        <w:spacing w:before="54" w:line="240" w:lineRule="auto"/>
        <w:ind w:left="29" w:right="153" w:firstLine="65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十、年末结转和结余：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指单位按有关规定结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转到下年或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以后年度继续使用的资金，或项目已完成等产生的结余资</w:t>
      </w:r>
      <w:r>
        <w:rPr>
          <w:rFonts w:hint="default" w:ascii="Times New Roman" w:hAnsi="Times New Roman" w:eastAsia="仿宋_GB2312" w:cs="Times New Roman"/>
          <w:spacing w:val="1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6"/>
          <w:sz w:val="31"/>
          <w:szCs w:val="31"/>
        </w:rPr>
        <w:t>金。</w:t>
      </w:r>
    </w:p>
    <w:p>
      <w:pPr>
        <w:spacing w:before="39" w:line="240" w:lineRule="auto"/>
        <w:ind w:left="30" w:right="153" w:firstLine="65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十一、基本支出：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指为保障机构正常运转、完成日常工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作任务而发生的人员支出和公用支出。</w:t>
      </w:r>
    </w:p>
    <w:p>
      <w:pPr>
        <w:spacing w:before="250" w:line="240" w:lineRule="auto"/>
        <w:ind w:left="33" w:right="154" w:firstLine="65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十二、项目支出：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指在基本支出之外为完成特定行政任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务或事业发展目标所发生的支出。</w:t>
      </w:r>
    </w:p>
    <w:p>
      <w:pPr>
        <w:spacing w:before="249" w:line="240" w:lineRule="auto"/>
        <w:ind w:left="44" w:right="155" w:firstLine="63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十三、经营支出：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指事业单位在专业业务活动及其辅助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活动之外开展非独立核算经营活动发生的支出。</w:t>
      </w:r>
    </w:p>
    <w:p>
      <w:pPr>
        <w:spacing w:before="249" w:line="240" w:lineRule="auto"/>
        <w:ind w:left="40" w:right="153" w:firstLine="64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十四、上缴上级支出：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指事业单位按照有关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规定上缴上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1"/>
          <w:szCs w:val="31"/>
        </w:rPr>
        <w:t>级单位的支出。</w:t>
      </w:r>
    </w:p>
    <w:p>
      <w:pPr>
        <w:spacing w:before="251" w:line="240" w:lineRule="auto"/>
        <w:ind w:left="29" w:right="152" w:firstLine="65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十五、对附属单位补助支出：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指事业单位用财政补助收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入之外的收入对附属单位补助发生的支出。</w:t>
      </w:r>
    </w:p>
    <w:p>
      <w:pPr>
        <w:spacing w:before="252" w:line="240" w:lineRule="auto"/>
        <w:ind w:left="25" w:firstLine="658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十六、“三公”经费：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纳入省级财政预决算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管理的“三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公”经费，是指省级部门用财政拨款安排的因公出国（境）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费、公务用车购置及运行维护费和公务接待费。是党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政机关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维持运转或完成特定工作任务所开支的相关支出，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是政府行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政开支的一部分。其中，</w:t>
      </w:r>
      <w:r>
        <w:rPr>
          <w:rFonts w:hint="default" w:ascii="Times New Roman" w:hAnsi="Times New Roman" w:eastAsia="仿宋_GB2312" w:cs="Times New Roman"/>
          <w:spacing w:val="-4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因公出国（境）费反映公</w:t>
      </w:r>
      <w:r>
        <w:rPr>
          <w:rFonts w:hint="default" w:ascii="Times New Roman" w:hAnsi="Times New Roman" w:eastAsia="仿宋_GB2312" w:cs="Times New Roman"/>
          <w:spacing w:val="-13"/>
          <w:sz w:val="31"/>
          <w:szCs w:val="31"/>
        </w:rPr>
        <w:t>务出国（境）</w:t>
      </w:r>
    </w:p>
    <w:p>
      <w:pPr>
        <w:spacing w:before="155" w:line="240" w:lineRule="auto"/>
        <w:ind w:left="25" w:firstLine="28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的国际旅费、国外城市间交通费、住宿费、伙食费、培训费、</w:t>
      </w:r>
      <w:r>
        <w:rPr>
          <w:rFonts w:hint="default" w:ascii="Times New Roman" w:hAnsi="Times New Roman" w:eastAsia="仿宋_GB2312" w:cs="Times New Roman"/>
          <w:spacing w:val="1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公杂费等支出；公务用车购置及运行费反映单位公务用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车车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辆购置支出（含车辆购置税）及燃料费、维修费、过桥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过路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费、保险费、安全奖励费等支出；公务接待费反映单位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按规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定开支的各类公务接待（含外宾接待）支出。</w:t>
      </w:r>
    </w:p>
    <w:p>
      <w:pPr>
        <w:spacing w:before="48" w:line="240" w:lineRule="auto"/>
        <w:ind w:left="26" w:right="93" w:firstLine="65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十七、机关运行经费：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指为保障行政单位（包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括参照公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务员法管理的事业单位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）运行用于购买货物和服务的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各项资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金，包括办公费、</w:t>
      </w:r>
      <w:r>
        <w:rPr>
          <w:rFonts w:hint="default" w:ascii="Times New Roman" w:hAnsi="Times New Roman" w:eastAsia="仿宋_GB2312" w:cs="Times New Roman"/>
          <w:spacing w:val="-8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印刷费、邮电费、差旅费、会议费、福利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费、日常维修费、专用材料及一般设备购置费、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办公用房水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电费、办公用房取暖费、办公用房物业管理费、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公务用车运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行维护费以及其他费用。</w:t>
      </w:r>
    </w:p>
    <w:p>
      <w:pPr>
        <w:spacing w:before="250" w:line="240" w:lineRule="auto"/>
        <w:ind w:left="43" w:right="93" w:firstLine="6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十八、******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（对部门使用的所有“项”级政府收支分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类科目，参照《2023年政府收支分类科目》中的科目说明和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中央部门决算公开内容进行说明</w:t>
      </w:r>
      <w:r>
        <w:rPr>
          <w:rFonts w:hint="default" w:ascii="Times New Roman" w:hAnsi="Times New Roman" w:eastAsia="仿宋_GB2312" w:cs="Times New Roman"/>
          <w:spacing w:val="19"/>
          <w:sz w:val="31"/>
          <w:szCs w:val="31"/>
        </w:rPr>
        <w:t>）：</w:t>
      </w:r>
    </w:p>
    <w:p>
      <w:pPr>
        <w:spacing w:before="249" w:line="355" w:lineRule="auto"/>
        <w:ind w:right="98"/>
        <w:rPr>
          <w:rFonts w:hint="default" w:ascii="Times New Roman" w:hAnsi="Times New Roman" w:eastAsia="仿宋_GB2312" w:cs="Times New Roman"/>
          <w:color w:val="FF0000"/>
          <w:spacing w:val="5"/>
          <w:sz w:val="31"/>
          <w:szCs w:val="31"/>
        </w:rPr>
      </w:pPr>
    </w:p>
    <w:sectPr>
      <w:footerReference r:id="rId8" w:type="default"/>
      <w:pgSz w:w="11907" w:h="16839"/>
      <w:pgMar w:top="1431" w:right="1705" w:bottom="1153" w:left="1785" w:header="0" w:footer="9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3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1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22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B3A7C"/>
    <w:multiLevelType w:val="singleLevel"/>
    <w:tmpl w:val="275B3A7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E59E95"/>
    <w:multiLevelType w:val="singleLevel"/>
    <w:tmpl w:val="41E59E95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5F9EDB"/>
    <w:multiLevelType w:val="singleLevel"/>
    <w:tmpl w:val="585F9EDB"/>
    <w:lvl w:ilvl="0" w:tentative="0">
      <w:start w:val="3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BlODE4YmMxZjc0NTkwMjNlNGNkZTI3YzMwOWE3MGUifQ=="/>
  </w:docVars>
  <w:rsids>
    <w:rsidRoot w:val="00000000"/>
    <w:rsid w:val="03035935"/>
    <w:rsid w:val="0F6A2898"/>
    <w:rsid w:val="11CC3396"/>
    <w:rsid w:val="16E22E2F"/>
    <w:rsid w:val="1BE77CE2"/>
    <w:rsid w:val="21E93AF0"/>
    <w:rsid w:val="2324183F"/>
    <w:rsid w:val="266D4AF8"/>
    <w:rsid w:val="2D05070F"/>
    <w:rsid w:val="320209E2"/>
    <w:rsid w:val="32166D38"/>
    <w:rsid w:val="41EF2D3E"/>
    <w:rsid w:val="544762D1"/>
    <w:rsid w:val="5B81031A"/>
    <w:rsid w:val="5BE03293"/>
    <w:rsid w:val="5DDB3958"/>
    <w:rsid w:val="612B4FB0"/>
    <w:rsid w:val="676E1C9E"/>
    <w:rsid w:val="6C5630FD"/>
    <w:rsid w:val="7A7255A6"/>
    <w:rsid w:val="7B0F1047"/>
    <w:rsid w:val="7CEC1640"/>
    <w:rsid w:val="7EFE1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link w:val="6"/>
    <w:autoRedefine/>
    <w:qFormat/>
    <w:uiPriority w:val="0"/>
    <w:rPr>
      <w:rFonts w:eastAsia="宋体"/>
      <w:sz w:val="21"/>
      <w:szCs w:val="20"/>
    </w:rPr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 Char"/>
    <w:basedOn w:val="1"/>
    <w:link w:val="5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character" w:styleId="7">
    <w:name w:val="page number"/>
    <w:basedOn w:val="5"/>
    <w:autoRedefine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公文正文"/>
    <w:basedOn w:val="1"/>
    <w:qFormat/>
    <w:uiPriority w:val="0"/>
    <w:pPr>
      <w:adjustRightInd w:val="0"/>
      <w:snapToGrid w:val="0"/>
      <w:spacing w:line="580" w:lineRule="atLeast"/>
      <w:ind w:firstLine="709"/>
    </w:pPr>
    <w:rPr>
      <w:rFonts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6754</Words>
  <Characters>7030</Characters>
  <TotalTime>5</TotalTime>
  <ScaleCrop>false</ScaleCrop>
  <LinksUpToDate>false</LinksUpToDate>
  <CharactersWithSpaces>7737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2024-08-07T08:54:00Z</dcterms:created>
  <dc:creator>王志强</dc:creator>
  <cp:lastModifiedBy>猫老大</cp:lastModifiedBy>
  <cp:lastPrinted>2024-08-26T08:47:00Z</cp:lastPrinted>
  <dcterms:modified xsi:type="dcterms:W3CDTF">2024-09-29T05:37:17Z</dcterms:modified>
  <dc:title>2015年度部门决算公开模板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2024-08-26T15:58:15Z</vt:filetime>
  </property>
  <property fmtid="{D5CDD505-2E9C-101B-9397-08002B2CF9AE}" pid="4" name="KSOProductBuildVer">
    <vt:lpwstr>2052-12.1.0.16417</vt:lpwstr>
  </property>
  <property fmtid="{D5CDD505-2E9C-101B-9397-08002B2CF9AE}" pid="5" name="ICV">
    <vt:lpwstr>8E17F26F049E4762AB2BA535E142A4D1_13</vt:lpwstr>
  </property>
</Properties>
</file>